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95" w:rsidRPr="00DB3895" w:rsidRDefault="00DB3895" w:rsidP="00DB3895">
      <w:pPr>
        <w:pStyle w:val="Ttulo"/>
        <w:jc w:val="center"/>
        <w:rPr>
          <w:rFonts w:cs="Segoe UI"/>
          <w:color w:val="323130"/>
          <w:szCs w:val="24"/>
          <w:bdr w:val="none" w:sz="0" w:space="0" w:color="auto" w:frame="1"/>
          <w:lang w:val="es-ES" w:eastAsia="es-ES"/>
        </w:rPr>
      </w:pPr>
      <w:r>
        <w:rPr>
          <w:lang w:val="es-ES" w:eastAsia="es-ES"/>
        </w:rPr>
        <w:t>La</w:t>
      </w:r>
      <w:r w:rsidRPr="00DB3895">
        <w:rPr>
          <w:lang w:val="es-ES" w:eastAsia="es-ES"/>
        </w:rPr>
        <w:t xml:space="preserve"> FADSP secunda la </w:t>
      </w:r>
      <w:proofErr w:type="spellStart"/>
      <w:r w:rsidRPr="00DB3895">
        <w:rPr>
          <w:lang w:val="es-ES" w:eastAsia="es-ES"/>
        </w:rPr>
        <w:t>inciativa</w:t>
      </w:r>
      <w:proofErr w:type="spellEnd"/>
      <w:r w:rsidRPr="00DB3895">
        <w:rPr>
          <w:lang w:val="es-ES" w:eastAsia="es-ES"/>
        </w:rPr>
        <w:t xml:space="preserve"> </w:t>
      </w:r>
      <w:proofErr w:type="spellStart"/>
      <w:r w:rsidRPr="00DB3895">
        <w:rPr>
          <w:lang w:val="es-ES" w:eastAsia="es-ES"/>
        </w:rPr>
        <w:t>ciudana</w:t>
      </w:r>
      <w:proofErr w:type="spellEnd"/>
      <w:r w:rsidRPr="00DB3895">
        <w:rPr>
          <w:lang w:val="es-ES" w:eastAsia="es-ES"/>
        </w:rPr>
        <w:t xml:space="preserve"> europea non </w:t>
      </w:r>
      <w:proofErr w:type="spellStart"/>
      <w:r w:rsidRPr="00DB3895">
        <w:rPr>
          <w:lang w:val="es-ES" w:eastAsia="es-ES"/>
        </w:rPr>
        <w:t>profit</w:t>
      </w:r>
      <w:proofErr w:type="spellEnd"/>
      <w:r w:rsidRPr="00DB3895">
        <w:rPr>
          <w:lang w:val="es-ES" w:eastAsia="es-ES"/>
        </w:rPr>
        <w:t xml:space="preserve"> </w:t>
      </w:r>
      <w:proofErr w:type="spellStart"/>
      <w:r w:rsidRPr="00DB3895">
        <w:rPr>
          <w:lang w:val="es-ES" w:eastAsia="es-ES"/>
        </w:rPr>
        <w:t>on</w:t>
      </w:r>
      <w:proofErr w:type="spellEnd"/>
      <w:r w:rsidRPr="00DB3895">
        <w:rPr>
          <w:lang w:val="es-ES" w:eastAsia="es-ES"/>
        </w:rPr>
        <w:t xml:space="preserve"> pandemic.eu</w:t>
      </w:r>
    </w:p>
    <w:p w:rsidR="004D21B6" w:rsidRPr="004D21B6" w:rsidRDefault="004D21B6" w:rsidP="00DC7650">
      <w:pPr>
        <w:jc w:val="both"/>
        <w:rPr>
          <w:lang w:val="es-ES"/>
        </w:rPr>
      </w:pPr>
    </w:p>
    <w:p w:rsidR="00DB3895" w:rsidRPr="00DB3895" w:rsidRDefault="00DB3895" w:rsidP="00DB3895">
      <w:pPr>
        <w:spacing w:line="480" w:lineRule="atLeast"/>
        <w:textAlignment w:val="baseline"/>
        <w:rPr>
          <w:rFonts w:cs="Arial"/>
          <w:color w:val="00196E"/>
          <w:szCs w:val="30"/>
          <w:lang w:val="es-ES" w:eastAsia="es-ES"/>
        </w:rPr>
      </w:pPr>
      <w:r w:rsidRPr="00DB3895">
        <w:rPr>
          <w:rFonts w:cs="Arial"/>
          <w:color w:val="00196E"/>
          <w:szCs w:val="30"/>
          <w:lang w:val="es-ES" w:eastAsia="es-ES"/>
        </w:rPr>
        <w:t>1 —</w:t>
      </w:r>
      <w:r w:rsidRPr="00DB3895">
        <w:rPr>
          <w:rFonts w:cs="Arial"/>
          <w:color w:val="00196E"/>
          <w:lang w:val="es-ES" w:eastAsia="es-ES"/>
        </w:rPr>
        <w:t> </w:t>
      </w:r>
      <w:r w:rsidRPr="00DB3895">
        <w:rPr>
          <w:rFonts w:cs="Arial"/>
          <w:b/>
          <w:bCs/>
          <w:color w:val="00196E"/>
          <w:szCs w:val="30"/>
          <w:bdr w:val="none" w:sz="0" w:space="0" w:color="auto" w:frame="1"/>
          <w:lang w:val="es-ES" w:eastAsia="es-ES"/>
        </w:rPr>
        <w:t>Salud para todos y todas</w:t>
      </w:r>
    </w:p>
    <w:p w:rsidR="00DB3895" w:rsidRPr="00DB3895" w:rsidRDefault="00DB3895" w:rsidP="00DB3895">
      <w:pPr>
        <w:spacing w:line="480" w:lineRule="atLeast"/>
        <w:textAlignment w:val="baseline"/>
        <w:rPr>
          <w:rFonts w:cs="Arial"/>
          <w:color w:val="00196E"/>
          <w:szCs w:val="30"/>
          <w:lang w:val="es-ES" w:eastAsia="es-ES"/>
        </w:rPr>
      </w:pPr>
      <w:r w:rsidRPr="00DB3895">
        <w:rPr>
          <w:rFonts w:ascii="inherit" w:hAnsi="inherit" w:cs="Arial"/>
          <w:color w:val="00196E"/>
          <w:sz w:val="26"/>
          <w:szCs w:val="30"/>
          <w:bdr w:val="none" w:sz="0" w:space="0" w:color="auto" w:frame="1"/>
          <w:lang w:val="es-ES" w:eastAsia="es-ES"/>
        </w:rPr>
        <w:t>La salud es un derecho. En una pandemia, la investigación y las tecnologías deberían compartirse ampliamente, rápido, a través del mundo. Una compañía privada no debería tener el poder de decidir quién tiene acceso a tratamientos o vacunas, ni a qué precio. Las patentes otorgan a una sola compañía el poder y monopolio sobre productos farmacéuticos esenciales. Esto limita su disponibilidad e incrementa su coste para las personas que los necesitan.</w:t>
      </w:r>
    </w:p>
    <w:p w:rsidR="00DB3895" w:rsidRPr="00DB3895" w:rsidRDefault="00DB3895" w:rsidP="00DB3895">
      <w:pPr>
        <w:spacing w:line="480" w:lineRule="atLeast"/>
        <w:textAlignment w:val="baseline"/>
        <w:rPr>
          <w:rFonts w:cs="Arial"/>
          <w:color w:val="00196E"/>
          <w:szCs w:val="30"/>
          <w:lang w:val="es-ES" w:eastAsia="es-ES"/>
        </w:rPr>
      </w:pPr>
      <w:r w:rsidRPr="00DB3895">
        <w:rPr>
          <w:rFonts w:cs="Arial"/>
          <w:color w:val="00196E"/>
          <w:szCs w:val="30"/>
          <w:lang w:val="es-ES" w:eastAsia="es-ES"/>
        </w:rPr>
        <w:t>2 —</w:t>
      </w:r>
      <w:r w:rsidRPr="00DB3895">
        <w:rPr>
          <w:rFonts w:cs="Arial"/>
          <w:color w:val="00196E"/>
          <w:lang w:val="es-ES" w:eastAsia="es-ES"/>
        </w:rPr>
        <w:t> </w:t>
      </w:r>
      <w:r w:rsidRPr="00DB3895">
        <w:rPr>
          <w:rFonts w:cs="Arial"/>
          <w:b/>
          <w:bCs/>
          <w:color w:val="00196E"/>
          <w:szCs w:val="30"/>
          <w:bdr w:val="none" w:sz="0" w:space="0" w:color="auto" w:frame="1"/>
          <w:lang w:val="es-ES" w:eastAsia="es-ES"/>
        </w:rPr>
        <w:t>¡Transparencia ya!</w:t>
      </w:r>
    </w:p>
    <w:p w:rsidR="00DB3895" w:rsidRPr="00DB3895" w:rsidRDefault="00DB3895" w:rsidP="00DB3895">
      <w:pPr>
        <w:spacing w:line="480" w:lineRule="atLeast"/>
        <w:textAlignment w:val="baseline"/>
        <w:rPr>
          <w:rFonts w:cs="Arial"/>
          <w:color w:val="00196E"/>
          <w:szCs w:val="30"/>
          <w:lang w:val="es-ES" w:eastAsia="es-ES"/>
        </w:rPr>
      </w:pPr>
      <w:r w:rsidRPr="00DB3895">
        <w:rPr>
          <w:rFonts w:ascii="inherit" w:hAnsi="inherit" w:cs="Arial"/>
          <w:color w:val="00196E"/>
          <w:sz w:val="26"/>
          <w:szCs w:val="30"/>
          <w:bdr w:val="none" w:sz="0" w:space="0" w:color="auto" w:frame="1"/>
          <w:lang w:val="es-ES" w:eastAsia="es-ES"/>
        </w:rPr>
        <w:t>La información sobre los costes de producción, las contribuciones públicas y la efectividad y seguridad de las vacunas y medicamentos debería ser pública. Los contratos entre autoridades públicas y compañías farmacéuticas también deben publicarse. </w:t>
      </w:r>
    </w:p>
    <w:p w:rsidR="00DB3895" w:rsidRPr="00DB3895" w:rsidRDefault="00DB3895" w:rsidP="00DB3895">
      <w:pPr>
        <w:spacing w:line="480" w:lineRule="atLeast"/>
        <w:textAlignment w:val="baseline"/>
        <w:rPr>
          <w:rFonts w:cs="Arial"/>
          <w:color w:val="00196E"/>
          <w:szCs w:val="30"/>
          <w:lang w:val="es-ES" w:eastAsia="es-ES"/>
        </w:rPr>
      </w:pPr>
      <w:r w:rsidRPr="00DB3895">
        <w:rPr>
          <w:rFonts w:cs="Arial"/>
          <w:color w:val="00196E"/>
          <w:szCs w:val="30"/>
          <w:lang w:val="es-ES" w:eastAsia="es-ES"/>
        </w:rPr>
        <w:t>3 — </w:t>
      </w:r>
      <w:r w:rsidRPr="00DB3895">
        <w:rPr>
          <w:rFonts w:cs="Arial"/>
          <w:b/>
          <w:bCs/>
          <w:color w:val="00196E"/>
          <w:szCs w:val="30"/>
          <w:bdr w:val="none" w:sz="0" w:space="0" w:color="auto" w:frame="1"/>
          <w:lang w:val="es-ES" w:eastAsia="es-ES"/>
        </w:rPr>
        <w:t>Fondos públicos, control público</w:t>
      </w:r>
    </w:p>
    <w:p w:rsidR="00DB3895" w:rsidRPr="00DB3895" w:rsidRDefault="00DB3895" w:rsidP="00DB3895">
      <w:pPr>
        <w:spacing w:line="480" w:lineRule="atLeast"/>
        <w:textAlignment w:val="baseline"/>
        <w:rPr>
          <w:rFonts w:cs="Arial"/>
          <w:color w:val="00196E"/>
          <w:szCs w:val="30"/>
          <w:lang w:val="es-ES" w:eastAsia="es-ES"/>
        </w:rPr>
      </w:pPr>
      <w:r w:rsidRPr="00DB3895">
        <w:rPr>
          <w:rFonts w:ascii="inherit" w:hAnsi="inherit" w:cs="Arial"/>
          <w:color w:val="00196E"/>
          <w:sz w:val="26"/>
          <w:szCs w:val="30"/>
          <w:bdr w:val="none" w:sz="0" w:space="0" w:color="auto" w:frame="1"/>
          <w:lang w:val="es-ES" w:eastAsia="es-ES"/>
        </w:rPr>
        <w:t>Los y las contribuyentes pagan con sus impuestos enormes sumas para la investigación y desarrollo de vacunas y tratamientos. Lo que la gente paga, deber ser para la gente. No podemos permitir que las compañías farmacéuticas privaticen tecnologías médicas cruciales que han sido desarrolladas con recursos públicos.</w:t>
      </w:r>
    </w:p>
    <w:p w:rsidR="00DB3895" w:rsidRPr="00DB3895" w:rsidRDefault="00DB3895" w:rsidP="00DB3895">
      <w:pPr>
        <w:spacing w:line="480" w:lineRule="atLeast"/>
        <w:textAlignment w:val="baseline"/>
        <w:rPr>
          <w:rFonts w:cs="Arial"/>
          <w:color w:val="00196E"/>
          <w:szCs w:val="30"/>
          <w:lang w:val="es-ES" w:eastAsia="es-ES"/>
        </w:rPr>
      </w:pPr>
      <w:r w:rsidRPr="00DB3895">
        <w:rPr>
          <w:rFonts w:cs="Arial"/>
          <w:color w:val="00196E"/>
          <w:szCs w:val="30"/>
          <w:lang w:val="es-ES" w:eastAsia="es-ES"/>
        </w:rPr>
        <w:t>4 —</w:t>
      </w:r>
      <w:r w:rsidRPr="00DB3895">
        <w:rPr>
          <w:rFonts w:cs="Arial"/>
          <w:color w:val="00196E"/>
          <w:lang w:val="es-ES" w:eastAsia="es-ES"/>
        </w:rPr>
        <w:t> </w:t>
      </w:r>
      <w:r w:rsidRPr="00DB3895">
        <w:rPr>
          <w:rFonts w:cs="Arial"/>
          <w:b/>
          <w:bCs/>
          <w:color w:val="00196E"/>
          <w:szCs w:val="30"/>
          <w:bdr w:val="none" w:sz="0" w:space="0" w:color="auto" w:frame="1"/>
          <w:lang w:val="es-ES" w:eastAsia="es-ES"/>
        </w:rPr>
        <w:t>Que nadie se lucre con la pandemia</w:t>
      </w:r>
    </w:p>
    <w:p w:rsidR="00DB3895" w:rsidRPr="00DB3895" w:rsidRDefault="00DB3895" w:rsidP="00DB3895">
      <w:pPr>
        <w:spacing w:line="480" w:lineRule="atLeast"/>
        <w:textAlignment w:val="baseline"/>
        <w:rPr>
          <w:rFonts w:cs="Arial"/>
          <w:color w:val="00196E"/>
          <w:szCs w:val="30"/>
          <w:lang w:val="es-ES" w:eastAsia="es-ES"/>
        </w:rPr>
      </w:pPr>
      <w:r w:rsidRPr="00DB3895">
        <w:rPr>
          <w:rFonts w:ascii="inherit" w:hAnsi="inherit" w:cs="Arial"/>
          <w:color w:val="00196E"/>
          <w:sz w:val="26"/>
          <w:szCs w:val="30"/>
          <w:bdr w:val="none" w:sz="0" w:space="0" w:color="auto" w:frame="1"/>
          <w:lang w:val="es-ES" w:eastAsia="es-ES"/>
        </w:rPr>
        <w:t>Las grandes compañías farmacéuticas no deberían lucrarse con esta pandemia, a expensas de la salud de la gente. Una amenaza colectiva requiere solidaridad, no lucro privado. La financiación pública debería darse solo con la garantía de que el producto final tendrá disponibilidad y un precio asequible. No se debería permitir que el</w:t>
      </w:r>
      <w:r w:rsidRPr="00DB3895">
        <w:rPr>
          <w:rFonts w:ascii="inherit" w:hAnsi="inherit" w:cs="Arial"/>
          <w:color w:val="00196E"/>
          <w:sz w:val="26"/>
          <w:lang w:val="es-ES" w:eastAsia="es-ES"/>
        </w:rPr>
        <w:t> </w:t>
      </w:r>
      <w:r w:rsidRPr="00DB3895">
        <w:rPr>
          <w:rFonts w:ascii="inherit" w:hAnsi="inherit" w:cs="Arial"/>
          <w:i/>
          <w:iCs/>
          <w:color w:val="00196E"/>
          <w:sz w:val="26"/>
          <w:szCs w:val="30"/>
          <w:bdr w:val="none" w:sz="0" w:space="0" w:color="auto" w:frame="1"/>
          <w:lang w:val="es-ES" w:eastAsia="es-ES"/>
        </w:rPr>
        <w:t xml:space="preserve">Big </w:t>
      </w:r>
      <w:proofErr w:type="spellStart"/>
      <w:r w:rsidRPr="00DB3895">
        <w:rPr>
          <w:rFonts w:ascii="inherit" w:hAnsi="inherit" w:cs="Arial"/>
          <w:i/>
          <w:iCs/>
          <w:color w:val="00196E"/>
          <w:sz w:val="26"/>
          <w:szCs w:val="30"/>
          <w:bdr w:val="none" w:sz="0" w:space="0" w:color="auto" w:frame="1"/>
          <w:lang w:val="es-ES" w:eastAsia="es-ES"/>
        </w:rPr>
        <w:t>Pharma</w:t>
      </w:r>
      <w:proofErr w:type="spellEnd"/>
      <w:r w:rsidRPr="00DB3895">
        <w:rPr>
          <w:rFonts w:ascii="inherit" w:hAnsi="inherit" w:cs="Arial"/>
          <w:color w:val="00196E"/>
          <w:sz w:val="26"/>
          <w:lang w:val="es-ES" w:eastAsia="es-ES"/>
        </w:rPr>
        <w:t> </w:t>
      </w:r>
      <w:r w:rsidRPr="00DB3895">
        <w:rPr>
          <w:rFonts w:ascii="inherit" w:hAnsi="inherit" w:cs="Arial"/>
          <w:color w:val="00196E"/>
          <w:sz w:val="26"/>
          <w:szCs w:val="30"/>
          <w:bdr w:val="none" w:sz="0" w:space="0" w:color="auto" w:frame="1"/>
          <w:lang w:val="es-ES" w:eastAsia="es-ES"/>
        </w:rPr>
        <w:t>saquee nuestros sistemas de seguridad social.</w:t>
      </w:r>
    </w:p>
    <w:p w:rsidR="00DB3895" w:rsidRPr="00DB3895" w:rsidRDefault="00DB3895" w:rsidP="00DB3895">
      <w:pPr>
        <w:textAlignment w:val="baseline"/>
        <w:rPr>
          <w:rFonts w:ascii="Segoe UI" w:hAnsi="Segoe UI" w:cs="Segoe UI"/>
          <w:color w:val="201F1E"/>
          <w:sz w:val="20"/>
          <w:szCs w:val="23"/>
          <w:lang w:val="es-ES" w:eastAsia="es-ES"/>
        </w:rPr>
      </w:pPr>
      <w:r w:rsidRPr="00DB3895">
        <w:rPr>
          <w:rFonts w:ascii="Segoe UI" w:hAnsi="Segoe UI" w:cs="Segoe UI"/>
          <w:color w:val="201F1E"/>
          <w:sz w:val="20"/>
          <w:szCs w:val="23"/>
          <w:lang w:val="es-ES" w:eastAsia="es-ES"/>
        </w:rPr>
        <w:t> </w:t>
      </w:r>
    </w:p>
    <w:p w:rsidR="00DB3895" w:rsidRPr="00DB3895" w:rsidRDefault="00DB3895" w:rsidP="00DB3895">
      <w:pPr>
        <w:textAlignment w:val="baseline"/>
        <w:rPr>
          <w:rFonts w:ascii="Segoe UI" w:hAnsi="Segoe UI" w:cs="Segoe UI"/>
          <w:color w:val="201F1E"/>
          <w:sz w:val="20"/>
          <w:szCs w:val="23"/>
          <w:lang w:val="es-ES" w:eastAsia="es-ES"/>
        </w:rPr>
      </w:pPr>
      <w:r w:rsidRPr="00DB3895">
        <w:rPr>
          <w:rFonts w:cs="Arial"/>
          <w:b/>
          <w:bCs/>
          <w:color w:val="201F1E"/>
          <w:sz w:val="22"/>
          <w:lang w:val="es-ES" w:eastAsia="es-ES"/>
        </w:rPr>
        <w:t>PUEDES ADHERIRTE FIRMANDO EN ESTE ENLACE:</w:t>
      </w:r>
    </w:p>
    <w:p w:rsidR="00DB3895" w:rsidRPr="00DB3895" w:rsidRDefault="00DB3895" w:rsidP="00DB3895">
      <w:pPr>
        <w:textAlignment w:val="baseline"/>
        <w:rPr>
          <w:rFonts w:ascii="Segoe UI" w:hAnsi="Segoe UI" w:cs="Segoe UI"/>
          <w:color w:val="201F1E"/>
          <w:sz w:val="20"/>
          <w:szCs w:val="23"/>
          <w:lang w:val="es-ES" w:eastAsia="es-ES"/>
        </w:rPr>
      </w:pPr>
      <w:r w:rsidRPr="00DB3895">
        <w:rPr>
          <w:rFonts w:ascii="Segoe UI" w:hAnsi="Segoe UI" w:cs="Segoe UI"/>
          <w:color w:val="201F1E"/>
          <w:sz w:val="20"/>
          <w:szCs w:val="23"/>
          <w:lang w:val="es-ES" w:eastAsia="es-ES"/>
        </w:rPr>
        <w:t> </w:t>
      </w:r>
    </w:p>
    <w:p w:rsidR="00DB3895" w:rsidRPr="00DB3895" w:rsidRDefault="00DB3895" w:rsidP="00DB3895">
      <w:pPr>
        <w:textAlignment w:val="baseline"/>
        <w:rPr>
          <w:rFonts w:ascii="Segoe UI" w:hAnsi="Segoe UI" w:cs="Segoe UI"/>
          <w:color w:val="201F1E"/>
          <w:sz w:val="20"/>
          <w:szCs w:val="23"/>
          <w:lang w:val="es-ES" w:eastAsia="es-ES"/>
        </w:rPr>
      </w:pPr>
      <w:hyperlink r:id="rId5" w:tgtFrame="_blank" w:history="1">
        <w:r w:rsidRPr="00DB3895">
          <w:rPr>
            <w:rFonts w:cs="Arial"/>
            <w:color w:val="0000FF"/>
            <w:sz w:val="16"/>
            <w:u w:val="single"/>
            <w:lang w:val="es-ES" w:eastAsia="es-ES"/>
          </w:rPr>
          <w:t>https://eci.ec.europa.eu/015/public</w:t>
        </w:r>
      </w:hyperlink>
    </w:p>
    <w:p w:rsidR="00D71BA1" w:rsidRPr="00DB3895" w:rsidRDefault="00D71BA1" w:rsidP="00DB3895">
      <w:pPr>
        <w:jc w:val="both"/>
        <w:rPr>
          <w:b/>
          <w:i/>
          <w:lang w:val="es-ES"/>
        </w:rPr>
      </w:pPr>
    </w:p>
    <w:sectPr w:rsidR="00D71BA1" w:rsidRPr="00DB3895" w:rsidSect="00805848">
      <w:pgSz w:w="11906" w:h="16838"/>
      <w:pgMar w:top="1417" w:right="991"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E4308"/>
    <w:multiLevelType w:val="hybridMultilevel"/>
    <w:tmpl w:val="A588CDD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06490"/>
    <w:rsid w:val="004C2F75"/>
    <w:rsid w:val="004D21B6"/>
    <w:rsid w:val="00805848"/>
    <w:rsid w:val="00D71BA1"/>
    <w:rsid w:val="00DB3895"/>
    <w:rsid w:val="00DC7650"/>
    <w:rsid w:val="00EB6C12"/>
    <w:rsid w:val="00F064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itwtqi23ioopmk3o6ert">
    <w:name w:val="itwtqi_23ioopmk3o6ert"/>
    <w:basedOn w:val="Fuentedeprrafopredeter"/>
    <w:rsid w:val="004D21B6"/>
  </w:style>
  <w:style w:type="paragraph" w:styleId="Ttulo">
    <w:name w:val="Title"/>
    <w:basedOn w:val="Normal"/>
    <w:next w:val="Normal"/>
    <w:link w:val="TtuloCar"/>
    <w:uiPriority w:val="10"/>
    <w:qFormat/>
    <w:rsid w:val="008058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5848"/>
    <w:rPr>
      <w:rFonts w:asciiTheme="majorHAnsi" w:eastAsiaTheme="majorEastAsia" w:hAnsiTheme="majorHAnsi" w:cstheme="majorBidi"/>
      <w:color w:val="17365D" w:themeColor="text2" w:themeShade="BF"/>
      <w:spacing w:val="5"/>
      <w:kern w:val="28"/>
      <w:sz w:val="52"/>
      <w:szCs w:val="52"/>
      <w:lang w:val="es-ES_tradnl" w:eastAsia="es-ES_tradnl"/>
    </w:rPr>
  </w:style>
  <w:style w:type="paragraph" w:styleId="NormalWeb">
    <w:name w:val="Normal (Web)"/>
    <w:basedOn w:val="Normal"/>
    <w:uiPriority w:val="99"/>
    <w:semiHidden/>
    <w:unhideWhenUsed/>
    <w:rsid w:val="00DB3895"/>
    <w:pPr>
      <w:spacing w:before="100" w:beforeAutospacing="1" w:after="100" w:afterAutospacing="1"/>
    </w:pPr>
    <w:rPr>
      <w:rFonts w:ascii="Times New Roman" w:hAnsi="Times New Roman"/>
      <w:lang w:val="es-ES" w:eastAsia="es-ES"/>
    </w:rPr>
  </w:style>
  <w:style w:type="character" w:customStyle="1" w:styleId="xapple-converted-space">
    <w:name w:val="x_apple-converted-space"/>
    <w:basedOn w:val="Fuentedeprrafopredeter"/>
    <w:rsid w:val="00DB3895"/>
  </w:style>
  <w:style w:type="character" w:styleId="Textoennegrita">
    <w:name w:val="Strong"/>
    <w:basedOn w:val="Fuentedeprrafopredeter"/>
    <w:uiPriority w:val="22"/>
    <w:qFormat/>
    <w:rsid w:val="00DB3895"/>
    <w:rPr>
      <w:b/>
      <w:bCs/>
    </w:rPr>
  </w:style>
  <w:style w:type="character" w:styleId="Hipervnculo">
    <w:name w:val="Hyperlink"/>
    <w:basedOn w:val="Fuentedeprrafopredeter"/>
    <w:uiPriority w:val="99"/>
    <w:semiHidden/>
    <w:unhideWhenUsed/>
    <w:rsid w:val="00DB3895"/>
    <w:rPr>
      <w:color w:val="0000FF"/>
      <w:u w:val="single"/>
    </w:rPr>
  </w:style>
</w:styles>
</file>

<file path=word/webSettings.xml><?xml version="1.0" encoding="utf-8"?>
<w:webSettings xmlns:r="http://schemas.openxmlformats.org/officeDocument/2006/relationships" xmlns:w="http://schemas.openxmlformats.org/wordprocessingml/2006/main">
  <w:divs>
    <w:div w:id="83576201">
      <w:bodyDiv w:val="1"/>
      <w:marLeft w:val="0"/>
      <w:marRight w:val="0"/>
      <w:marTop w:val="0"/>
      <w:marBottom w:val="0"/>
      <w:divBdr>
        <w:top w:val="none" w:sz="0" w:space="0" w:color="auto"/>
        <w:left w:val="none" w:sz="0" w:space="0" w:color="auto"/>
        <w:bottom w:val="none" w:sz="0" w:space="0" w:color="auto"/>
        <w:right w:val="none" w:sz="0" w:space="0" w:color="auto"/>
      </w:divBdr>
      <w:divsChild>
        <w:div w:id="2040085112">
          <w:marLeft w:val="0"/>
          <w:marRight w:val="0"/>
          <w:marTop w:val="0"/>
          <w:marBottom w:val="0"/>
          <w:divBdr>
            <w:top w:val="none" w:sz="0" w:space="0" w:color="auto"/>
            <w:left w:val="none" w:sz="0" w:space="0" w:color="auto"/>
            <w:bottom w:val="none" w:sz="0" w:space="0" w:color="auto"/>
            <w:right w:val="none" w:sz="0" w:space="0" w:color="auto"/>
          </w:divBdr>
        </w:div>
        <w:div w:id="601766466">
          <w:marLeft w:val="0"/>
          <w:marRight w:val="0"/>
          <w:marTop w:val="0"/>
          <w:marBottom w:val="0"/>
          <w:divBdr>
            <w:top w:val="none" w:sz="0" w:space="0" w:color="auto"/>
            <w:left w:val="none" w:sz="0" w:space="0" w:color="auto"/>
            <w:bottom w:val="none" w:sz="0" w:space="0" w:color="auto"/>
            <w:right w:val="none" w:sz="0" w:space="0" w:color="auto"/>
          </w:divBdr>
        </w:div>
        <w:div w:id="385642286">
          <w:marLeft w:val="0"/>
          <w:marRight w:val="0"/>
          <w:marTop w:val="0"/>
          <w:marBottom w:val="0"/>
          <w:divBdr>
            <w:top w:val="none" w:sz="0" w:space="0" w:color="auto"/>
            <w:left w:val="none" w:sz="0" w:space="0" w:color="auto"/>
            <w:bottom w:val="none" w:sz="0" w:space="0" w:color="auto"/>
            <w:right w:val="none" w:sz="0" w:space="0" w:color="auto"/>
          </w:divBdr>
        </w:div>
        <w:div w:id="1796411321">
          <w:marLeft w:val="0"/>
          <w:marRight w:val="0"/>
          <w:marTop w:val="0"/>
          <w:marBottom w:val="0"/>
          <w:divBdr>
            <w:top w:val="none" w:sz="0" w:space="0" w:color="auto"/>
            <w:left w:val="none" w:sz="0" w:space="0" w:color="auto"/>
            <w:bottom w:val="none" w:sz="0" w:space="0" w:color="auto"/>
            <w:right w:val="none" w:sz="0" w:space="0" w:color="auto"/>
          </w:divBdr>
        </w:div>
        <w:div w:id="1217476372">
          <w:marLeft w:val="0"/>
          <w:marRight w:val="0"/>
          <w:marTop w:val="0"/>
          <w:marBottom w:val="0"/>
          <w:divBdr>
            <w:top w:val="none" w:sz="0" w:space="0" w:color="auto"/>
            <w:left w:val="none" w:sz="0" w:space="0" w:color="auto"/>
            <w:bottom w:val="none" w:sz="0" w:space="0" w:color="auto"/>
            <w:right w:val="none" w:sz="0" w:space="0" w:color="auto"/>
          </w:divBdr>
        </w:div>
      </w:divsChild>
    </w:div>
    <w:div w:id="1027632644">
      <w:bodyDiv w:val="1"/>
      <w:marLeft w:val="0"/>
      <w:marRight w:val="0"/>
      <w:marTop w:val="0"/>
      <w:marBottom w:val="0"/>
      <w:divBdr>
        <w:top w:val="none" w:sz="0" w:space="0" w:color="auto"/>
        <w:left w:val="none" w:sz="0" w:space="0" w:color="auto"/>
        <w:bottom w:val="none" w:sz="0" w:space="0" w:color="auto"/>
        <w:right w:val="none" w:sz="0" w:space="0" w:color="auto"/>
      </w:divBdr>
      <w:divsChild>
        <w:div w:id="558590555">
          <w:marLeft w:val="300"/>
          <w:marRight w:val="300"/>
          <w:marTop w:val="0"/>
          <w:marBottom w:val="0"/>
          <w:divBdr>
            <w:top w:val="none" w:sz="0" w:space="0" w:color="auto"/>
            <w:left w:val="none" w:sz="0" w:space="0" w:color="auto"/>
            <w:bottom w:val="none" w:sz="0" w:space="0" w:color="auto"/>
            <w:right w:val="none" w:sz="0" w:space="0" w:color="auto"/>
          </w:divBdr>
          <w:divsChild>
            <w:div w:id="976224387">
              <w:marLeft w:val="0"/>
              <w:marRight w:val="0"/>
              <w:marTop w:val="0"/>
              <w:marBottom w:val="0"/>
              <w:divBdr>
                <w:top w:val="none" w:sz="0" w:space="0" w:color="auto"/>
                <w:left w:val="none" w:sz="0" w:space="0" w:color="auto"/>
                <w:bottom w:val="none" w:sz="0" w:space="0" w:color="auto"/>
                <w:right w:val="none" w:sz="0" w:space="0" w:color="auto"/>
              </w:divBdr>
              <w:divsChild>
                <w:div w:id="624893709">
                  <w:marLeft w:val="0"/>
                  <w:marRight w:val="0"/>
                  <w:marTop w:val="0"/>
                  <w:marBottom w:val="0"/>
                  <w:divBdr>
                    <w:top w:val="none" w:sz="0" w:space="0" w:color="auto"/>
                    <w:left w:val="none" w:sz="0" w:space="0" w:color="auto"/>
                    <w:bottom w:val="none" w:sz="0" w:space="0" w:color="auto"/>
                    <w:right w:val="none" w:sz="0" w:space="0" w:color="auto"/>
                  </w:divBdr>
                  <w:divsChild>
                    <w:div w:id="1727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17">
          <w:marLeft w:val="0"/>
          <w:marRight w:val="0"/>
          <w:marTop w:val="0"/>
          <w:marBottom w:val="0"/>
          <w:divBdr>
            <w:top w:val="none" w:sz="0" w:space="0" w:color="auto"/>
            <w:left w:val="none" w:sz="0" w:space="0" w:color="auto"/>
            <w:bottom w:val="none" w:sz="0" w:space="0" w:color="auto"/>
            <w:right w:val="none" w:sz="0" w:space="0" w:color="auto"/>
          </w:divBdr>
          <w:divsChild>
            <w:div w:id="948896288">
              <w:marLeft w:val="0"/>
              <w:marRight w:val="0"/>
              <w:marTop w:val="0"/>
              <w:marBottom w:val="0"/>
              <w:divBdr>
                <w:top w:val="none" w:sz="0" w:space="0" w:color="auto"/>
                <w:left w:val="none" w:sz="0" w:space="0" w:color="auto"/>
                <w:bottom w:val="none" w:sz="0" w:space="0" w:color="auto"/>
                <w:right w:val="none" w:sz="0" w:space="0" w:color="auto"/>
              </w:divBdr>
              <w:divsChild>
                <w:div w:id="1532182270">
                  <w:marLeft w:val="120"/>
                  <w:marRight w:val="300"/>
                  <w:marTop w:val="0"/>
                  <w:marBottom w:val="120"/>
                  <w:divBdr>
                    <w:top w:val="none" w:sz="0" w:space="0" w:color="auto"/>
                    <w:left w:val="none" w:sz="0" w:space="0" w:color="auto"/>
                    <w:bottom w:val="none" w:sz="0" w:space="0" w:color="auto"/>
                    <w:right w:val="none" w:sz="0" w:space="0" w:color="auto"/>
                  </w:divBdr>
                  <w:divsChild>
                    <w:div w:id="1550411652">
                      <w:marLeft w:val="0"/>
                      <w:marRight w:val="0"/>
                      <w:marTop w:val="0"/>
                      <w:marBottom w:val="0"/>
                      <w:divBdr>
                        <w:top w:val="none" w:sz="0" w:space="0" w:color="auto"/>
                        <w:left w:val="none" w:sz="0" w:space="0" w:color="auto"/>
                        <w:bottom w:val="none" w:sz="0" w:space="0" w:color="auto"/>
                        <w:right w:val="none" w:sz="0" w:space="0" w:color="auto"/>
                      </w:divBdr>
                      <w:divsChild>
                        <w:div w:id="173033564">
                          <w:marLeft w:val="0"/>
                          <w:marRight w:val="120"/>
                          <w:marTop w:val="0"/>
                          <w:marBottom w:val="0"/>
                          <w:divBdr>
                            <w:top w:val="none" w:sz="0" w:space="0" w:color="auto"/>
                            <w:left w:val="none" w:sz="0" w:space="0" w:color="auto"/>
                            <w:bottom w:val="none" w:sz="0" w:space="0" w:color="auto"/>
                            <w:right w:val="none" w:sz="0" w:space="0" w:color="auto"/>
                          </w:divBdr>
                          <w:divsChild>
                            <w:div w:id="446318914">
                              <w:marLeft w:val="0"/>
                              <w:marRight w:val="0"/>
                              <w:marTop w:val="0"/>
                              <w:marBottom w:val="0"/>
                              <w:divBdr>
                                <w:top w:val="none" w:sz="0" w:space="0" w:color="auto"/>
                                <w:left w:val="none" w:sz="0" w:space="0" w:color="auto"/>
                                <w:bottom w:val="none" w:sz="0" w:space="0" w:color="auto"/>
                                <w:right w:val="none" w:sz="0" w:space="0" w:color="auto"/>
                              </w:divBdr>
                              <w:divsChild>
                                <w:div w:id="14671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71611">
      <w:bodyDiv w:val="1"/>
      <w:marLeft w:val="0"/>
      <w:marRight w:val="0"/>
      <w:marTop w:val="0"/>
      <w:marBottom w:val="0"/>
      <w:divBdr>
        <w:top w:val="none" w:sz="0" w:space="0" w:color="auto"/>
        <w:left w:val="none" w:sz="0" w:space="0" w:color="auto"/>
        <w:bottom w:val="none" w:sz="0" w:space="0" w:color="auto"/>
        <w:right w:val="none" w:sz="0" w:space="0" w:color="auto"/>
      </w:divBdr>
      <w:divsChild>
        <w:div w:id="1560825041">
          <w:marLeft w:val="300"/>
          <w:marRight w:val="300"/>
          <w:marTop w:val="0"/>
          <w:marBottom w:val="0"/>
          <w:divBdr>
            <w:top w:val="none" w:sz="0" w:space="0" w:color="auto"/>
            <w:left w:val="none" w:sz="0" w:space="0" w:color="auto"/>
            <w:bottom w:val="none" w:sz="0" w:space="0" w:color="auto"/>
            <w:right w:val="none" w:sz="0" w:space="0" w:color="auto"/>
          </w:divBdr>
          <w:divsChild>
            <w:div w:id="631442245">
              <w:marLeft w:val="0"/>
              <w:marRight w:val="0"/>
              <w:marTop w:val="0"/>
              <w:marBottom w:val="0"/>
              <w:divBdr>
                <w:top w:val="none" w:sz="0" w:space="0" w:color="auto"/>
                <w:left w:val="none" w:sz="0" w:space="0" w:color="auto"/>
                <w:bottom w:val="none" w:sz="0" w:space="0" w:color="auto"/>
                <w:right w:val="none" w:sz="0" w:space="0" w:color="auto"/>
              </w:divBdr>
              <w:divsChild>
                <w:div w:id="1554540335">
                  <w:marLeft w:val="0"/>
                  <w:marRight w:val="0"/>
                  <w:marTop w:val="0"/>
                  <w:marBottom w:val="0"/>
                  <w:divBdr>
                    <w:top w:val="none" w:sz="0" w:space="0" w:color="auto"/>
                    <w:left w:val="none" w:sz="0" w:space="0" w:color="auto"/>
                    <w:bottom w:val="none" w:sz="0" w:space="0" w:color="auto"/>
                    <w:right w:val="none" w:sz="0" w:space="0" w:color="auto"/>
                  </w:divBdr>
                  <w:divsChild>
                    <w:div w:id="14763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464">
          <w:marLeft w:val="0"/>
          <w:marRight w:val="0"/>
          <w:marTop w:val="0"/>
          <w:marBottom w:val="0"/>
          <w:divBdr>
            <w:top w:val="none" w:sz="0" w:space="0" w:color="auto"/>
            <w:left w:val="none" w:sz="0" w:space="0" w:color="auto"/>
            <w:bottom w:val="none" w:sz="0" w:space="0" w:color="auto"/>
            <w:right w:val="none" w:sz="0" w:space="0" w:color="auto"/>
          </w:divBdr>
          <w:divsChild>
            <w:div w:id="753089494">
              <w:marLeft w:val="0"/>
              <w:marRight w:val="0"/>
              <w:marTop w:val="0"/>
              <w:marBottom w:val="0"/>
              <w:divBdr>
                <w:top w:val="none" w:sz="0" w:space="0" w:color="auto"/>
                <w:left w:val="none" w:sz="0" w:space="0" w:color="auto"/>
                <w:bottom w:val="none" w:sz="0" w:space="0" w:color="auto"/>
                <w:right w:val="none" w:sz="0" w:space="0" w:color="auto"/>
              </w:divBdr>
              <w:divsChild>
                <w:div w:id="821703071">
                  <w:marLeft w:val="120"/>
                  <w:marRight w:val="300"/>
                  <w:marTop w:val="0"/>
                  <w:marBottom w:val="120"/>
                  <w:divBdr>
                    <w:top w:val="none" w:sz="0" w:space="0" w:color="auto"/>
                    <w:left w:val="none" w:sz="0" w:space="0" w:color="auto"/>
                    <w:bottom w:val="none" w:sz="0" w:space="0" w:color="auto"/>
                    <w:right w:val="none" w:sz="0" w:space="0" w:color="auto"/>
                  </w:divBdr>
                  <w:divsChild>
                    <w:div w:id="1406949630">
                      <w:marLeft w:val="0"/>
                      <w:marRight w:val="0"/>
                      <w:marTop w:val="0"/>
                      <w:marBottom w:val="0"/>
                      <w:divBdr>
                        <w:top w:val="none" w:sz="0" w:space="0" w:color="auto"/>
                        <w:left w:val="none" w:sz="0" w:space="0" w:color="auto"/>
                        <w:bottom w:val="none" w:sz="0" w:space="0" w:color="auto"/>
                        <w:right w:val="none" w:sz="0" w:space="0" w:color="auto"/>
                      </w:divBdr>
                      <w:divsChild>
                        <w:div w:id="159007846">
                          <w:marLeft w:val="0"/>
                          <w:marRight w:val="120"/>
                          <w:marTop w:val="0"/>
                          <w:marBottom w:val="0"/>
                          <w:divBdr>
                            <w:top w:val="none" w:sz="0" w:space="0" w:color="auto"/>
                            <w:left w:val="none" w:sz="0" w:space="0" w:color="auto"/>
                            <w:bottom w:val="none" w:sz="0" w:space="0" w:color="auto"/>
                            <w:right w:val="none" w:sz="0" w:space="0" w:color="auto"/>
                          </w:divBdr>
                          <w:divsChild>
                            <w:div w:id="1766880191">
                              <w:marLeft w:val="0"/>
                              <w:marRight w:val="0"/>
                              <w:marTop w:val="0"/>
                              <w:marBottom w:val="0"/>
                              <w:divBdr>
                                <w:top w:val="none" w:sz="0" w:space="0" w:color="auto"/>
                                <w:left w:val="none" w:sz="0" w:space="0" w:color="auto"/>
                                <w:bottom w:val="none" w:sz="0" w:space="0" w:color="auto"/>
                                <w:right w:val="none" w:sz="0" w:space="0" w:color="auto"/>
                              </w:divBdr>
                              <w:divsChild>
                                <w:div w:id="750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i.ec.europa.eu/015/publi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La Asociación para la Defensa de la Sanidad Pública de Madrid ante la inauguración del hospital Isabel Zendal</vt:lpstr>
    </vt:vector>
  </TitlesOfParts>
  <Company>FADSP</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Asociación para la Defensa de la Sanidad Pública de Madrid ante la inauguración del hospital Isabel Zendal</dc:title>
  <dc:creator>FADSP</dc:creator>
  <cp:lastModifiedBy>Usuario</cp:lastModifiedBy>
  <cp:revision>2</cp:revision>
  <dcterms:created xsi:type="dcterms:W3CDTF">2020-11-30T20:59:00Z</dcterms:created>
  <dcterms:modified xsi:type="dcterms:W3CDTF">2020-11-30T20:59:00Z</dcterms:modified>
</cp:coreProperties>
</file>