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CD" w:rsidRPr="00251CF6" w:rsidRDefault="009837CD" w:rsidP="00251CF6">
      <w:pPr>
        <w:jc w:val="both"/>
        <w:rPr>
          <w:rFonts w:ascii="Arial" w:hAnsi="Arial" w:cs="Arial"/>
        </w:rPr>
      </w:pPr>
    </w:p>
    <w:p w:rsidR="009837CD" w:rsidRPr="00251CF6" w:rsidRDefault="009837CD" w:rsidP="00251CF6">
      <w:pPr>
        <w:jc w:val="both"/>
        <w:rPr>
          <w:rFonts w:ascii="Arial" w:hAnsi="Arial" w:cs="Arial"/>
          <w:b/>
          <w:bCs/>
          <w:noProof/>
        </w:rPr>
      </w:pPr>
    </w:p>
    <w:p w:rsidR="009837CD" w:rsidRPr="00251CF6" w:rsidRDefault="009837CD" w:rsidP="00251CF6">
      <w:pPr>
        <w:jc w:val="both"/>
        <w:rPr>
          <w:rFonts w:ascii="Arial" w:hAnsi="Arial" w:cs="Arial"/>
          <w:b/>
          <w:bCs/>
          <w:color w:val="000000"/>
        </w:rPr>
      </w:pPr>
      <w:r w:rsidRPr="00251CF6">
        <w:rPr>
          <w:rFonts w:ascii="Arial" w:hAnsi="Arial" w:cs="Arial"/>
          <w:b/>
          <w:bCs/>
          <w:noProof/>
        </w:rPr>
        <w:t xml:space="preserve">JORNADA </w:t>
      </w:r>
      <w:r w:rsidRPr="00251CF6">
        <w:rPr>
          <w:rFonts w:ascii="Arial" w:hAnsi="Arial" w:cs="Arial"/>
          <w:b/>
          <w:bCs/>
          <w:color w:val="000000"/>
        </w:rPr>
        <w:t xml:space="preserve">“GASTO FARMACÉUTICO Y CALIDAD ASISTENCIAL” </w:t>
      </w:r>
    </w:p>
    <w:p w:rsidR="009837CD" w:rsidRPr="00251CF6" w:rsidRDefault="009837CD" w:rsidP="00251CF6">
      <w:pPr>
        <w:jc w:val="both"/>
        <w:rPr>
          <w:rFonts w:ascii="Arial" w:hAnsi="Arial" w:cs="Arial"/>
          <w:b/>
          <w:bCs/>
          <w:color w:val="000000"/>
        </w:rPr>
      </w:pPr>
      <w:r w:rsidRPr="00251CF6">
        <w:rPr>
          <w:rFonts w:ascii="Arial" w:hAnsi="Arial" w:cs="Arial"/>
          <w:b/>
          <w:bCs/>
          <w:color w:val="000000"/>
        </w:rPr>
        <w:t>Cáceres, 24 de octubre de 2018</w:t>
      </w:r>
    </w:p>
    <w:p w:rsidR="009837CD" w:rsidRPr="00251CF6" w:rsidRDefault="009837CD" w:rsidP="00251CF6">
      <w:pPr>
        <w:jc w:val="both"/>
        <w:rPr>
          <w:rFonts w:ascii="Arial" w:hAnsi="Arial" w:cs="Arial"/>
          <w:b/>
          <w:bCs/>
        </w:rPr>
      </w:pPr>
      <w:r w:rsidRPr="00251CF6">
        <w:rPr>
          <w:rFonts w:ascii="Arial" w:hAnsi="Arial" w:cs="Arial"/>
          <w:b/>
          <w:bCs/>
          <w:noProof/>
        </w:rPr>
        <w:t>(CONCLUSIONES)</w:t>
      </w:r>
    </w:p>
    <w:p w:rsidR="009837CD" w:rsidRPr="00251CF6" w:rsidRDefault="009837CD" w:rsidP="00251CF6">
      <w:pPr>
        <w:jc w:val="both"/>
        <w:rPr>
          <w:rFonts w:ascii="Arial" w:hAnsi="Arial" w:cs="Arial"/>
        </w:rPr>
      </w:pPr>
    </w:p>
    <w:p w:rsidR="009837CD" w:rsidRPr="00251CF6" w:rsidRDefault="009837CD" w:rsidP="00251CF6">
      <w:p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i/>
          <w:iCs/>
          <w:color w:val="000000"/>
        </w:rPr>
        <w:t>“¿Es posible reducir el gasto farmacéutico sin comprometer la calidad asistencial?”</w:t>
      </w:r>
      <w:r w:rsidRPr="00251CF6">
        <w:rPr>
          <w:rFonts w:ascii="Arial" w:hAnsi="Arial" w:cs="Arial"/>
          <w:color w:val="000000"/>
        </w:rPr>
        <w:t xml:space="preserve"> es la pregunta que han intentado responder expertos, profesionales, ciudadanos, políticos y gestores sanitarios en la Jornada de debate “Gasto farmacéutico y calidad asistencial” organizada por la Federación de Asociaciones en Defensa de la Sanidad Pública (FADSP) y la Consejería de Sanidad de la Comunidad Autónoma de  Extremadura, celebrada en Cáceres el miércoles día 24 de octubre y que contó con la participación de una veintena de ponentes. Durante la Jornada se concluyó que:</w:t>
      </w:r>
    </w:p>
    <w:p w:rsidR="009837CD" w:rsidRPr="00251CF6" w:rsidRDefault="009837CD" w:rsidP="00251CF6">
      <w:pPr>
        <w:jc w:val="both"/>
        <w:rPr>
          <w:rFonts w:ascii="Arial" w:hAnsi="Arial" w:cs="Arial"/>
          <w:color w:val="000000"/>
        </w:rPr>
      </w:pPr>
    </w:p>
    <w:p w:rsidR="009837CD" w:rsidRPr="00251CF6" w:rsidRDefault="009837CD" w:rsidP="00251CF6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color w:val="000000"/>
        </w:rPr>
        <w:t xml:space="preserve">El gasto farmacéutico y en tecnologías sanitarias sigue incrementándose (especialmente el de la farmacia hospitalaria) de una manera no proporcional a la salud producida y está poniendo en grave riesgo no solo la sostenibilidad económica del sistema público de salud sino también la seguridad de los enfermos. </w:t>
      </w:r>
    </w:p>
    <w:p w:rsidR="009837CD" w:rsidRPr="00251CF6" w:rsidRDefault="009837CD" w:rsidP="00251CF6">
      <w:pPr>
        <w:pStyle w:val="ListParagraph1"/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color w:val="000000"/>
        </w:rPr>
        <w:t>Las razones de este incremento son diversas:</w:t>
      </w:r>
    </w:p>
    <w:p w:rsidR="009837CD" w:rsidRPr="00251CF6" w:rsidRDefault="009837CD" w:rsidP="00251CF6">
      <w:pPr>
        <w:pStyle w:val="ListParagraph1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b/>
          <w:bCs/>
          <w:color w:val="000000"/>
        </w:rPr>
        <w:t>Un modelo de innovación biomédica basado en las patentes, que determina un modelo de negocio de las multinacionales farmacéuticas y de tecnologías contrario a la sostenibilidad, la cooperación y la ciencia independiente</w:t>
      </w:r>
      <w:r w:rsidRPr="00251CF6">
        <w:rPr>
          <w:rFonts w:ascii="Arial" w:hAnsi="Arial" w:cs="Arial"/>
          <w:color w:val="000000"/>
        </w:rPr>
        <w:t>: la hegemonía de la financiación privada, el monopolio comercial y las estrategias de extensión de patentes (evergreening), la investigación en cerrado, el marketing como instrumento de ventas (en lugar de que sean las ventajas objetivas de los productos) y la necesidad de retornos en el corto plazo (que favorec</w:t>
      </w:r>
      <w:r>
        <w:rPr>
          <w:rFonts w:ascii="Arial" w:hAnsi="Arial" w:cs="Arial"/>
          <w:color w:val="000000"/>
        </w:rPr>
        <w:t xml:space="preserve">en estrategias especulativas, agresivas conspiraciones y acuerdos en la sobra </w:t>
      </w:r>
      <w:r w:rsidRPr="00251CF6">
        <w:rPr>
          <w:rFonts w:ascii="Arial" w:hAnsi="Arial" w:cs="Arial"/>
          <w:color w:val="000000"/>
        </w:rPr>
        <w:t xml:space="preserve"> y una elevada prevalencia de delitos corporativos).</w:t>
      </w:r>
    </w:p>
    <w:p w:rsidR="009837CD" w:rsidRPr="00251CF6" w:rsidRDefault="009837CD" w:rsidP="00251CF6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51CF6">
        <w:rPr>
          <w:rFonts w:ascii="Arial" w:hAnsi="Arial" w:cs="Arial"/>
        </w:rPr>
        <w:t xml:space="preserve">El debilitamiento de las garantías que las agencias reguladoras europea (EMA) y estatal (AEMPS) exigen para permitir la comercialización de nuevos medicamentos y tecnologías que reciben una importante financiación de las farmacéuticas </w:t>
      </w:r>
    </w:p>
    <w:p w:rsidR="009837CD" w:rsidRPr="00251CF6" w:rsidRDefault="009837CD" w:rsidP="00251CF6">
      <w:pPr>
        <w:pStyle w:val="ListParagraph1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b/>
          <w:bCs/>
          <w:color w:val="000000"/>
        </w:rPr>
        <w:t>Control casi absoluto, por parte de la industria farmacéutica y de tecnologías, de todas las fases de la cadena del conocimiento biomédico</w:t>
      </w:r>
      <w:r w:rsidRPr="00251CF6">
        <w:rPr>
          <w:rFonts w:ascii="Arial" w:hAnsi="Arial" w:cs="Arial"/>
          <w:color w:val="000000"/>
        </w:rPr>
        <w:t>: generación (ensayos clínicos, estudios de seguridad y costo-efectividad, meta-análisis..)</w:t>
      </w:r>
      <w:r>
        <w:rPr>
          <w:rFonts w:ascii="Arial" w:hAnsi="Arial" w:cs="Arial"/>
          <w:color w:val="000000"/>
        </w:rPr>
        <w:t>,</w:t>
      </w:r>
      <w:r w:rsidRPr="00251CF6">
        <w:rPr>
          <w:rFonts w:ascii="Arial" w:hAnsi="Arial" w:cs="Arial"/>
          <w:color w:val="000000"/>
        </w:rPr>
        <w:t xml:space="preserve"> difusión (síntesis en forma de Guías de Práctica Clónica, publicación en revistas científicas y formación especializada y continuada) y aplicación (con intervenciones promocionales que influyen en prescriptores y en la percepción de los ciudadanos acerca de la utilidad de los nuevos medicamentos y tecnologías)</w:t>
      </w:r>
    </w:p>
    <w:p w:rsidR="009837CD" w:rsidRPr="00251CF6" w:rsidRDefault="009837CD" w:rsidP="00251CF6">
      <w:pPr>
        <w:pStyle w:val="ListParagraph1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b/>
          <w:bCs/>
          <w:color w:val="000000"/>
        </w:rPr>
        <w:t>Opacidad, falta de criterios de interés público y desagregación de los procesos de evaluación, fijación de precios y acuerdos entre proveedores y compradores públicos de tecnologías y medicamentos</w:t>
      </w:r>
      <w:r w:rsidRPr="00251CF6">
        <w:rPr>
          <w:rFonts w:ascii="Arial" w:hAnsi="Arial" w:cs="Arial"/>
          <w:color w:val="000000"/>
        </w:rPr>
        <w:t xml:space="preserve">. </w:t>
      </w:r>
    </w:p>
    <w:p w:rsidR="009837CD" w:rsidRPr="00251CF6" w:rsidRDefault="009837CD" w:rsidP="00251CF6">
      <w:pPr>
        <w:pStyle w:val="ListParagraph1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b/>
          <w:bCs/>
          <w:color w:val="000000"/>
        </w:rPr>
        <w:t>Conflictos de interés</w:t>
      </w:r>
      <w:r w:rsidRPr="00251CF6">
        <w:rPr>
          <w:rFonts w:ascii="Arial" w:hAnsi="Arial" w:cs="Arial"/>
          <w:color w:val="000000"/>
        </w:rPr>
        <w:t xml:space="preserve"> que afectan a sociedades científicas y asociaciones de pacientes, instituciones sanitarias (colegios profesionales, organismos de investigación, etc.) y líderes profesionales que participan en el diseño de estrategias de salud pública, comisiones de farmacia y evaluación de tecnologías y grupos de trabajo y asesoramiento de los sistemas nacional y autonómicos de salud.</w:t>
      </w:r>
    </w:p>
    <w:p w:rsidR="009837CD" w:rsidRPr="00251CF6" w:rsidRDefault="009837CD" w:rsidP="00251CF6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9837CD" w:rsidRPr="00251CF6" w:rsidRDefault="009837CD" w:rsidP="00251CF6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color w:val="000000"/>
        </w:rPr>
        <w:t xml:space="preserve">Estas razones están señalando </w:t>
      </w:r>
      <w:r w:rsidRPr="00251CF6">
        <w:rPr>
          <w:rFonts w:ascii="Arial" w:hAnsi="Arial" w:cs="Arial"/>
          <w:b/>
          <w:bCs/>
          <w:color w:val="000000"/>
        </w:rPr>
        <w:t>retos que son de naturaleza política y con distintos ámbitos de aplicación</w:t>
      </w:r>
      <w:r w:rsidRPr="00251CF6">
        <w:rPr>
          <w:rFonts w:ascii="Arial" w:hAnsi="Arial" w:cs="Arial"/>
          <w:color w:val="000000"/>
        </w:rPr>
        <w:t xml:space="preserve">: Cambiar el sistema de patentes y premiar la innovación con sistemas más alineados con los intereses públicos tiene en la actualidad un </w:t>
      </w:r>
      <w:r>
        <w:rPr>
          <w:rFonts w:ascii="Arial" w:hAnsi="Arial" w:cs="Arial"/>
          <w:b/>
          <w:bCs/>
          <w:color w:val="000000"/>
        </w:rPr>
        <w:t>ámbito de decisión</w:t>
      </w:r>
      <w:r w:rsidRPr="00251CF6">
        <w:rPr>
          <w:rFonts w:ascii="Arial" w:hAnsi="Arial" w:cs="Arial"/>
          <w:b/>
          <w:bCs/>
          <w:color w:val="000000"/>
        </w:rPr>
        <w:t xml:space="preserve"> global</w:t>
      </w:r>
      <w:r w:rsidRPr="00251CF6">
        <w:rPr>
          <w:rFonts w:ascii="Arial" w:hAnsi="Arial" w:cs="Arial"/>
          <w:color w:val="000000"/>
        </w:rPr>
        <w:t xml:space="preserve">. Mejorar las garantías de las agencias reguladoras de los productos farmacéuticos y de tecnologías e incrementar la transparencia de los ensayos clínicos y los procesos de evaluación y fijación de precios de los nuevos medicamentos tiene </w:t>
      </w:r>
      <w:r w:rsidRPr="00251CF6">
        <w:rPr>
          <w:rFonts w:ascii="Arial" w:hAnsi="Arial" w:cs="Arial"/>
          <w:b/>
          <w:bCs/>
          <w:color w:val="000000"/>
        </w:rPr>
        <w:t>un ámbito europeo y nacional</w:t>
      </w:r>
      <w:r>
        <w:rPr>
          <w:rFonts w:ascii="Arial" w:hAnsi="Arial" w:cs="Arial"/>
          <w:color w:val="000000"/>
        </w:rPr>
        <w:t>. Estos ámbitos de decisión</w:t>
      </w:r>
      <w:r w:rsidRPr="00251CF6">
        <w:rPr>
          <w:rFonts w:ascii="Arial" w:hAnsi="Arial" w:cs="Arial"/>
          <w:color w:val="000000"/>
        </w:rPr>
        <w:t xml:space="preserve">, que están por encima de los gobiernos autonómicos, generan gran </w:t>
      </w:r>
      <w:r w:rsidRPr="00251CF6">
        <w:rPr>
          <w:rFonts w:ascii="Arial" w:hAnsi="Arial" w:cs="Arial"/>
          <w:b/>
          <w:bCs/>
          <w:color w:val="000000"/>
        </w:rPr>
        <w:t>indefensión en los pagadores finales</w:t>
      </w:r>
      <w:r w:rsidRPr="00251CF6">
        <w:rPr>
          <w:rFonts w:ascii="Arial" w:hAnsi="Arial" w:cs="Arial"/>
          <w:color w:val="000000"/>
        </w:rPr>
        <w:t>, aunque existen iniciativas profesionales y ciudadanas</w:t>
      </w:r>
      <w:r>
        <w:rPr>
          <w:rFonts w:ascii="Arial" w:hAnsi="Arial" w:cs="Arial"/>
          <w:color w:val="000000"/>
        </w:rPr>
        <w:t xml:space="preserve"> que intentan desvelarlos</w:t>
      </w:r>
      <w:r w:rsidRPr="00251CF6">
        <w:rPr>
          <w:rFonts w:ascii="Arial" w:hAnsi="Arial" w:cs="Arial"/>
          <w:color w:val="000000"/>
        </w:rPr>
        <w:t>. Es fundamental que desde las Comunidades Autónomas, que son las grandes perjudicadas del modelo como pagadores, se fomente el debate político y ciudadano al respecto</w:t>
      </w:r>
    </w:p>
    <w:p w:rsidR="009837CD" w:rsidRPr="00251CF6" w:rsidRDefault="009837CD" w:rsidP="00251CF6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color w:val="000000"/>
        </w:rPr>
        <w:t xml:space="preserve">Sin embargo, las notables diferencias en el gasto </w:t>
      </w:r>
      <w:r w:rsidRPr="00251CF6">
        <w:rPr>
          <w:rFonts w:ascii="Arial" w:hAnsi="Arial" w:cs="Arial"/>
          <w:i/>
          <w:iCs/>
          <w:color w:val="000000"/>
        </w:rPr>
        <w:t>per capita</w:t>
      </w:r>
      <w:r w:rsidRPr="00251CF6">
        <w:rPr>
          <w:rFonts w:ascii="Arial" w:hAnsi="Arial" w:cs="Arial"/>
          <w:color w:val="000000"/>
        </w:rPr>
        <w:t xml:space="preserve"> en fármacos de prescripción ambulatoria y hospitalarios entre las distintas comunidades refleja que </w:t>
      </w:r>
      <w:r w:rsidRPr="00251CF6">
        <w:rPr>
          <w:rFonts w:ascii="Arial" w:hAnsi="Arial" w:cs="Arial"/>
          <w:b/>
          <w:bCs/>
          <w:color w:val="000000"/>
        </w:rPr>
        <w:t>existen decisiones propias de los gobiernos autonómicos que están introduciendo factores moduladores o aceleradores del gasto farmacéutico y de tecnologías, como por ejemplo:</w:t>
      </w:r>
    </w:p>
    <w:p w:rsidR="009837CD" w:rsidRPr="00251CF6" w:rsidRDefault="009837CD" w:rsidP="00251CF6">
      <w:pPr>
        <w:pStyle w:val="ListParagraph1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color w:val="000000"/>
        </w:rPr>
        <w:t>En el contexto de la financiación general, se han alcanzado techos competenciales similares en todas las C</w:t>
      </w:r>
      <w:r>
        <w:rPr>
          <w:rFonts w:ascii="Arial" w:hAnsi="Arial" w:cs="Arial"/>
          <w:color w:val="000000"/>
        </w:rPr>
        <w:t>omunidades Autónomas</w:t>
      </w:r>
      <w:r w:rsidRPr="00251CF6">
        <w:rPr>
          <w:rFonts w:ascii="Arial" w:hAnsi="Arial" w:cs="Arial"/>
          <w:color w:val="000000"/>
        </w:rPr>
        <w:t xml:space="preserve"> con autonomía del gasto, hasta el punto de ser un sistema de financiación </w:t>
      </w:r>
      <w:r w:rsidRPr="00251CF6">
        <w:rPr>
          <w:rFonts w:ascii="Arial" w:hAnsi="Arial" w:cs="Arial"/>
          <w:b/>
          <w:bCs/>
          <w:color w:val="000000"/>
        </w:rPr>
        <w:t xml:space="preserve">homologable </w:t>
      </w:r>
      <w:r w:rsidRPr="00251CF6">
        <w:rPr>
          <w:rFonts w:ascii="Arial" w:hAnsi="Arial" w:cs="Arial"/>
          <w:color w:val="000000"/>
        </w:rPr>
        <w:t xml:space="preserve"> a los sistemas descentralizados  de los estados federales más descentralizados. A pesar de las diferencias en capacidades fiscales y necesidades de gasto entre C</w:t>
      </w:r>
      <w:r>
        <w:rPr>
          <w:rFonts w:ascii="Arial" w:hAnsi="Arial" w:cs="Arial"/>
          <w:color w:val="000000"/>
        </w:rPr>
        <w:t>omunidades Autónomas</w:t>
      </w:r>
      <w:r w:rsidRPr="00251CF6">
        <w:rPr>
          <w:rFonts w:ascii="Arial" w:hAnsi="Arial" w:cs="Arial"/>
          <w:color w:val="000000"/>
        </w:rPr>
        <w:t>, hay sistemas de transferencias con elementos de compensación evidentes.</w:t>
      </w:r>
    </w:p>
    <w:p w:rsidR="009837CD" w:rsidRPr="00251CF6" w:rsidRDefault="009837CD" w:rsidP="00251CF6">
      <w:pPr>
        <w:ind w:left="1416"/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color w:val="000000"/>
        </w:rPr>
        <w:t>Además del privilegiado régimen foral, si se primase la autonomía tributaria se perjudicaría la equidad entre C</w:t>
      </w:r>
      <w:r>
        <w:rPr>
          <w:rFonts w:ascii="Arial" w:hAnsi="Arial" w:cs="Arial"/>
          <w:color w:val="000000"/>
        </w:rPr>
        <w:t>omunidades</w:t>
      </w:r>
      <w:r w:rsidRPr="00251CF6">
        <w:rPr>
          <w:rFonts w:ascii="Arial" w:hAnsi="Arial" w:cs="Arial"/>
          <w:color w:val="000000"/>
        </w:rPr>
        <w:t xml:space="preserve">. </w:t>
      </w:r>
      <w:r w:rsidRPr="00251CF6">
        <w:rPr>
          <w:rFonts w:ascii="Arial" w:hAnsi="Arial" w:cs="Arial"/>
          <w:b/>
          <w:bCs/>
          <w:color w:val="000000"/>
        </w:rPr>
        <w:t>Extremadura perdería el 10 % de su financiación,</w:t>
      </w:r>
      <w:r w:rsidRPr="00251CF6">
        <w:rPr>
          <w:rFonts w:ascii="Arial" w:hAnsi="Arial" w:cs="Arial"/>
          <w:color w:val="000000"/>
        </w:rPr>
        <w:t xml:space="preserve"> por lo que habría que tener en cuenta otras variables de necesidad: Costes fijos; renta relativa como ajuste de demanda de servicios fundamentales (sanidad, educación, servicios sociales); variables geográficas con población como ajuste al coste de prestación por unidad de servicio (tanto para servicios fundamentales como no fundamentales).</w:t>
      </w:r>
    </w:p>
    <w:p w:rsidR="009837CD" w:rsidRPr="00251CF6" w:rsidRDefault="009837CD" w:rsidP="00251CF6">
      <w:pPr>
        <w:pStyle w:val="ListParagraph1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color w:val="000000"/>
        </w:rPr>
        <w:t xml:space="preserve"> En la gestión del gasto farmacéutico, el acuerdo de sostenibilidad suscrito entre el Gobierno y Farmaindustria</w:t>
      </w:r>
      <w:r>
        <w:rPr>
          <w:rFonts w:ascii="Arial" w:hAnsi="Arial" w:cs="Arial"/>
          <w:color w:val="000000"/>
        </w:rPr>
        <w:t>, que es muy negativo para el control del gasto farmacéutico, porque obliga a un crecimiento de este en relación con el PIB, mientras los presupuestos sanitarios no lo hacen en igual medida. Además</w:t>
      </w:r>
      <w:r w:rsidRPr="00251CF6">
        <w:rPr>
          <w:rFonts w:ascii="Arial" w:hAnsi="Arial" w:cs="Arial"/>
          <w:color w:val="000000"/>
        </w:rPr>
        <w:t xml:space="preserve"> se incumple en tanto en cuanto el gasto supera la tasa de crecimiento del PIB real de la economía española y, sin embargo, no se están produciendo las </w:t>
      </w:r>
      <w:r w:rsidRPr="00251CF6">
        <w:rPr>
          <w:rFonts w:ascii="Arial" w:hAnsi="Arial" w:cs="Arial"/>
          <w:b/>
          <w:bCs/>
          <w:color w:val="000000"/>
        </w:rPr>
        <w:t>compensaciones monetarias correspondientes al exceso de crecimiento sobre el PIB real.</w:t>
      </w:r>
    </w:p>
    <w:p w:rsidR="009837CD" w:rsidRPr="00251CF6" w:rsidRDefault="009837CD" w:rsidP="00251CF6">
      <w:pPr>
        <w:pStyle w:val="ListParagraph1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color w:val="000000"/>
        </w:rPr>
        <w:t>Si descendemos al ámbito de la calidad de la prescripción</w:t>
      </w:r>
      <w:r w:rsidRPr="00251CF6">
        <w:rPr>
          <w:rFonts w:ascii="Arial" w:hAnsi="Arial" w:cs="Arial"/>
          <w:b/>
          <w:bCs/>
          <w:color w:val="000000"/>
        </w:rPr>
        <w:t xml:space="preserve">, el "control" de la indicación mejora más la eficiencia del gasto farmacéutico </w:t>
      </w:r>
      <w:r w:rsidRPr="00251CF6">
        <w:rPr>
          <w:rFonts w:ascii="Arial" w:hAnsi="Arial" w:cs="Arial"/>
          <w:color w:val="000000"/>
        </w:rPr>
        <w:t>y encaja mejor con la práctica clínica que el simple "control" de la prescripción. El "control" de la indicación es un ejemplo de gestión clínica, y no un mero mecanismo de “control” externo del gasto. El "control" de la indicación debería entenderse como parte del ejercicio profesional del médico de familia, ejecutable en la propia consulta.</w:t>
      </w:r>
    </w:p>
    <w:p w:rsidR="009837CD" w:rsidRPr="00251CF6" w:rsidRDefault="009837CD" w:rsidP="00251CF6">
      <w:pPr>
        <w:pStyle w:val="ListParagraph1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color w:val="000000"/>
        </w:rPr>
        <w:t>Mediante la evaluación independiente y la formación es necesario aminorar las expectativas exageradas del pensamiento ilusorio en general y de la</w:t>
      </w:r>
      <w:r w:rsidRPr="00251CF6">
        <w:rPr>
          <w:rFonts w:ascii="Arial" w:hAnsi="Arial" w:cs="Arial"/>
          <w:b/>
          <w:bCs/>
          <w:color w:val="000000"/>
        </w:rPr>
        <w:t xml:space="preserve"> “ilusión terapéutica” </w:t>
      </w:r>
      <w:r w:rsidRPr="00251CF6">
        <w:rPr>
          <w:rFonts w:ascii="Arial" w:hAnsi="Arial" w:cs="Arial"/>
          <w:color w:val="000000"/>
        </w:rPr>
        <w:t>en particular, combatiendo la creencia de médicos y pacientes de que los tratamientos en medicina son más seguros y eficaces de lo que demuestran las pruebas de la investigación independiente y de alta calidad.</w:t>
      </w:r>
    </w:p>
    <w:p w:rsidR="009837CD" w:rsidRPr="00251CF6" w:rsidRDefault="009837CD" w:rsidP="00251CF6">
      <w:pPr>
        <w:pStyle w:val="ListParagraph1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color w:val="000000"/>
        </w:rPr>
        <w:t xml:space="preserve">En la Unión Europea se necesita  </w:t>
      </w:r>
      <w:r w:rsidRPr="00251CF6">
        <w:rPr>
          <w:rFonts w:ascii="Arial" w:hAnsi="Arial" w:cs="Arial"/>
          <w:color w:val="000000"/>
          <w:lang w:val="es-ES_tradnl"/>
        </w:rPr>
        <w:t>mantener un desarrollo económico activo, modernizando sus estructuras de producción, pero respetando</w:t>
      </w:r>
      <w:r>
        <w:rPr>
          <w:rFonts w:ascii="Arial" w:hAnsi="Arial" w:cs="Arial"/>
          <w:color w:val="000000"/>
        </w:rPr>
        <w:t xml:space="preserve"> l</w:t>
      </w:r>
      <w:r w:rsidRPr="00251CF6">
        <w:rPr>
          <w:rFonts w:ascii="Arial" w:hAnsi="Arial" w:cs="Arial"/>
          <w:color w:val="000000"/>
        </w:rPr>
        <w:t>os avances políticos, democráticos y  sociales</w:t>
      </w:r>
      <w:r w:rsidRPr="00251CF6">
        <w:rPr>
          <w:rFonts w:ascii="Arial" w:hAnsi="Arial" w:cs="Arial"/>
          <w:b/>
          <w:bCs/>
          <w:color w:val="000000"/>
        </w:rPr>
        <w:t xml:space="preserve">, </w:t>
      </w:r>
      <w:r w:rsidRPr="00251CF6">
        <w:rPr>
          <w:rFonts w:ascii="Arial" w:hAnsi="Arial" w:cs="Arial"/>
          <w:color w:val="000000"/>
        </w:rPr>
        <w:t>en especial los sanitarios, el desarrollo en salud pública de todos los pueblos y el</w:t>
      </w:r>
      <w:r w:rsidRPr="00251CF6">
        <w:rPr>
          <w:rFonts w:ascii="Arial" w:hAnsi="Arial" w:cs="Arial"/>
          <w:b/>
          <w:bCs/>
          <w:color w:val="000000"/>
          <w:kern w:val="24"/>
        </w:rPr>
        <w:t xml:space="preserve"> </w:t>
      </w:r>
      <w:r w:rsidRPr="00251CF6">
        <w:rPr>
          <w:rFonts w:ascii="Arial" w:hAnsi="Arial" w:cs="Arial"/>
          <w:color w:val="000000"/>
        </w:rPr>
        <w:t>equilibrio en el binomio eficiencia-equidad.</w:t>
      </w:r>
    </w:p>
    <w:p w:rsidR="009837CD" w:rsidRPr="00251CF6" w:rsidRDefault="009837CD" w:rsidP="00251CF6">
      <w:pPr>
        <w:pStyle w:val="ListParagraph1"/>
        <w:ind w:left="1440"/>
        <w:jc w:val="both"/>
        <w:rPr>
          <w:rFonts w:ascii="Arial" w:hAnsi="Arial" w:cs="Arial"/>
          <w:color w:val="000000"/>
        </w:rPr>
      </w:pPr>
    </w:p>
    <w:p w:rsidR="009837CD" w:rsidRPr="00251CF6" w:rsidRDefault="009837CD" w:rsidP="00251CF6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color w:val="000000"/>
        </w:rPr>
        <w:t xml:space="preserve">Para los políticos, ciudadanos, expertos y profesionales participantes en la Jornada, el factor más importante que puede incidir en la reducción del gasto público ineficiente invertido en medicamentos y tecnologías es la </w:t>
      </w:r>
      <w:r w:rsidRPr="00251CF6">
        <w:rPr>
          <w:rFonts w:ascii="Arial" w:hAnsi="Arial" w:cs="Arial"/>
          <w:b/>
          <w:bCs/>
          <w:color w:val="000000"/>
        </w:rPr>
        <w:t>gestión de los conflictos de interés dentro de los sistemas de salud</w:t>
      </w:r>
      <w:r w:rsidRPr="00251CF6">
        <w:rPr>
          <w:rFonts w:ascii="Arial" w:hAnsi="Arial" w:cs="Arial"/>
          <w:color w:val="000000"/>
        </w:rPr>
        <w:t xml:space="preserve">. En la actualidad la falta de políticas claras, junto con la ausencia de control, está dejando el terreno libre a las empresas farmacéuticas y de tecnologías para influir en los distintos ámbitos de decisión que gobiernan el conocimiento de las organizaciones y determinan las decisiones de los profesionales dentro de los sistemas autonómicos de salud. </w:t>
      </w:r>
    </w:p>
    <w:p w:rsidR="009837CD" w:rsidRPr="00251CF6" w:rsidRDefault="009837CD" w:rsidP="00251CF6">
      <w:pPr>
        <w:pStyle w:val="ListParagraph1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51CF6">
        <w:rPr>
          <w:rFonts w:ascii="Arial" w:hAnsi="Arial" w:cs="Arial"/>
          <w:b/>
          <w:bCs/>
          <w:color w:val="000000"/>
        </w:rPr>
        <w:t>Sin sistemas san</w:t>
      </w:r>
      <w:r>
        <w:rPr>
          <w:rFonts w:ascii="Arial" w:hAnsi="Arial" w:cs="Arial"/>
          <w:b/>
          <w:bCs/>
          <w:color w:val="000000"/>
        </w:rPr>
        <w:t>itarios públicos libres de la contaminación de la industria</w:t>
      </w:r>
      <w:r w:rsidRPr="00251CF6">
        <w:rPr>
          <w:rFonts w:ascii="Arial" w:hAnsi="Arial" w:cs="Arial"/>
          <w:b/>
          <w:bCs/>
          <w:color w:val="000000"/>
        </w:rPr>
        <w:t xml:space="preserve"> no es posible reducir el gasto farmacéutico.</w:t>
      </w:r>
      <w:r w:rsidRPr="00251CF6">
        <w:rPr>
          <w:rFonts w:ascii="Arial" w:hAnsi="Arial" w:cs="Arial"/>
          <w:color w:val="000000"/>
        </w:rPr>
        <w:t xml:space="preserve"> Por eso la tarea inmediata </w:t>
      </w:r>
      <w:r>
        <w:rPr>
          <w:rFonts w:ascii="Arial" w:hAnsi="Arial" w:cs="Arial"/>
          <w:color w:val="000000"/>
        </w:rPr>
        <w:t xml:space="preserve">de los </w:t>
      </w:r>
      <w:r w:rsidRPr="00251CF6">
        <w:rPr>
          <w:rFonts w:ascii="Arial" w:hAnsi="Arial" w:cs="Arial"/>
          <w:color w:val="000000"/>
        </w:rPr>
        <w:t xml:space="preserve">participantes en la Jornada será elaborar una propuesta política, basada en las mejores experiencias autonómicas e internacionales, para la </w:t>
      </w:r>
      <w:r w:rsidRPr="00251CF6">
        <w:rPr>
          <w:rFonts w:ascii="Arial" w:hAnsi="Arial" w:cs="Arial"/>
          <w:b/>
          <w:bCs/>
          <w:color w:val="000000"/>
        </w:rPr>
        <w:t>prevención, declaración y gestión de los conflictos de interés dentro de los sistemas de salud</w:t>
      </w:r>
      <w:r w:rsidRPr="00251CF6">
        <w:rPr>
          <w:rFonts w:ascii="Arial" w:hAnsi="Arial" w:cs="Arial"/>
          <w:color w:val="000000"/>
        </w:rPr>
        <w:t>.</w:t>
      </w:r>
    </w:p>
    <w:p w:rsidR="009837CD" w:rsidRPr="0082004D" w:rsidRDefault="009837CD" w:rsidP="0082004D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9837CD" w:rsidRPr="0082004D" w:rsidRDefault="009837CD" w:rsidP="0082004D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82004D">
        <w:rPr>
          <w:rFonts w:ascii="Arial" w:hAnsi="Arial" w:cs="Arial"/>
          <w:b/>
          <w:bCs/>
          <w:i/>
          <w:iCs/>
          <w:color w:val="000000"/>
        </w:rPr>
        <w:t>Federación de Asociaciones para la Defensa de la Sanidad Pública</w:t>
      </w:r>
    </w:p>
    <w:p w:rsidR="009837CD" w:rsidRPr="00251CF6" w:rsidRDefault="009837CD" w:rsidP="00AE4E07">
      <w:pPr>
        <w:jc w:val="center"/>
        <w:rPr>
          <w:rFonts w:ascii="Arial" w:hAnsi="Arial" w:cs="Arial"/>
          <w:color w:val="000000"/>
        </w:rPr>
      </w:pPr>
      <w:r w:rsidRPr="0082004D">
        <w:rPr>
          <w:rFonts w:ascii="Arial" w:hAnsi="Arial" w:cs="Arial"/>
          <w:b/>
          <w:bCs/>
          <w:i/>
          <w:iCs/>
          <w:color w:val="000000"/>
        </w:rPr>
        <w:t>30 de Octubre de 2018</w:t>
      </w:r>
    </w:p>
    <w:sectPr w:rsidR="009837CD" w:rsidRPr="00251CF6" w:rsidSect="00253531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CD" w:rsidRDefault="009837CD" w:rsidP="00257671">
      <w:r>
        <w:separator/>
      </w:r>
    </w:p>
  </w:endnote>
  <w:endnote w:type="continuationSeparator" w:id="0">
    <w:p w:rsidR="009837CD" w:rsidRDefault="009837CD" w:rsidP="0025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CD" w:rsidRDefault="009837CD" w:rsidP="00257671">
      <w:r>
        <w:separator/>
      </w:r>
    </w:p>
  </w:footnote>
  <w:footnote w:type="continuationSeparator" w:id="0">
    <w:p w:rsidR="009837CD" w:rsidRDefault="009837CD" w:rsidP="0025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CD" w:rsidRDefault="009837CD">
    <w:pPr>
      <w:pStyle w:val="Header"/>
    </w:pPr>
    <w:r w:rsidRPr="00456BC9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75.75pt;height:6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148"/>
    <w:multiLevelType w:val="hybridMultilevel"/>
    <w:tmpl w:val="F454E19A"/>
    <w:lvl w:ilvl="0" w:tplc="82F2F5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FBA8AC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B1836A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ECC11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5CA6F1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49AABD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E2CF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3E2BFB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9A80C4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9D2639"/>
    <w:multiLevelType w:val="hybridMultilevel"/>
    <w:tmpl w:val="5C860ECA"/>
    <w:lvl w:ilvl="0" w:tplc="2406715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/>
        <w:bCs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BA27EC5"/>
    <w:multiLevelType w:val="hybridMultilevel"/>
    <w:tmpl w:val="46E2E14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332122"/>
    <w:multiLevelType w:val="hybridMultilevel"/>
    <w:tmpl w:val="8D3CC55C"/>
    <w:lvl w:ilvl="0" w:tplc="DE3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E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C1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26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41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EE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2E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EC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286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02C00"/>
    <w:multiLevelType w:val="hybridMultilevel"/>
    <w:tmpl w:val="B71C2576"/>
    <w:lvl w:ilvl="0" w:tplc="3BC8C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63199"/>
    <w:multiLevelType w:val="hybridMultilevel"/>
    <w:tmpl w:val="E6AAAFD8"/>
    <w:lvl w:ilvl="0" w:tplc="9EF4A2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E32FD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892835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4CF150">
      <w:start w:val="153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F7C99A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9D42D5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B00E1F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5AC964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DCECFB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2C2147"/>
    <w:multiLevelType w:val="hybridMultilevel"/>
    <w:tmpl w:val="A424719E"/>
    <w:lvl w:ilvl="0" w:tplc="26946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21C1C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93434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8D2CF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4420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C629D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B9EB4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F248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6F094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71"/>
    <w:rsid w:val="00031E7F"/>
    <w:rsid w:val="000D6541"/>
    <w:rsid w:val="001454EA"/>
    <w:rsid w:val="00206725"/>
    <w:rsid w:val="00244F9B"/>
    <w:rsid w:val="00251CF6"/>
    <w:rsid w:val="00253531"/>
    <w:rsid w:val="00257671"/>
    <w:rsid w:val="002D1520"/>
    <w:rsid w:val="00321F75"/>
    <w:rsid w:val="003316FB"/>
    <w:rsid w:val="00341A95"/>
    <w:rsid w:val="00456BC9"/>
    <w:rsid w:val="004A0C58"/>
    <w:rsid w:val="004B211D"/>
    <w:rsid w:val="004B57A4"/>
    <w:rsid w:val="004C46D1"/>
    <w:rsid w:val="004E58D8"/>
    <w:rsid w:val="00501EA7"/>
    <w:rsid w:val="005A6ACF"/>
    <w:rsid w:val="005D78C2"/>
    <w:rsid w:val="00607325"/>
    <w:rsid w:val="00643294"/>
    <w:rsid w:val="00680DDF"/>
    <w:rsid w:val="007B4389"/>
    <w:rsid w:val="007E7448"/>
    <w:rsid w:val="007F3E0D"/>
    <w:rsid w:val="0082004D"/>
    <w:rsid w:val="00837EA8"/>
    <w:rsid w:val="00863579"/>
    <w:rsid w:val="008E091C"/>
    <w:rsid w:val="0095405A"/>
    <w:rsid w:val="00971A77"/>
    <w:rsid w:val="009837CD"/>
    <w:rsid w:val="009F79B1"/>
    <w:rsid w:val="00A53AB4"/>
    <w:rsid w:val="00A77F61"/>
    <w:rsid w:val="00AA1BE5"/>
    <w:rsid w:val="00AE4E07"/>
    <w:rsid w:val="00B12BE8"/>
    <w:rsid w:val="00B64E16"/>
    <w:rsid w:val="00CB1270"/>
    <w:rsid w:val="00CC72D9"/>
    <w:rsid w:val="00DB5B5F"/>
    <w:rsid w:val="00E362D8"/>
    <w:rsid w:val="00ED4476"/>
    <w:rsid w:val="00FC731C"/>
    <w:rsid w:val="00FD1A1D"/>
    <w:rsid w:val="00FD1FEA"/>
    <w:rsid w:val="00FD6E7A"/>
    <w:rsid w:val="00FE48AA"/>
    <w:rsid w:val="00F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E8"/>
    <w:rPr>
      <w:rFonts w:cs="Cambria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76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671"/>
  </w:style>
  <w:style w:type="paragraph" w:styleId="Footer">
    <w:name w:val="footer"/>
    <w:basedOn w:val="Normal"/>
    <w:link w:val="FooterChar"/>
    <w:uiPriority w:val="99"/>
    <w:rsid w:val="002576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671"/>
  </w:style>
  <w:style w:type="paragraph" w:styleId="BalloonText">
    <w:name w:val="Balloon Text"/>
    <w:basedOn w:val="Normal"/>
    <w:link w:val="BalloonTextChar"/>
    <w:uiPriority w:val="99"/>
    <w:semiHidden/>
    <w:rsid w:val="002576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1"/>
    <w:rPr>
      <w:rFonts w:ascii="Lucida Grande" w:hAnsi="Lucida Grande" w:cs="Lucida Grande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E362D8"/>
    <w:pPr>
      <w:ind w:left="720"/>
    </w:pPr>
  </w:style>
  <w:style w:type="paragraph" w:styleId="NormalWeb">
    <w:name w:val="Normal (Web)"/>
    <w:basedOn w:val="Normal"/>
    <w:uiPriority w:val="99"/>
    <w:semiHidden/>
    <w:rsid w:val="00031E7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51CF6"/>
    <w:pPr>
      <w:ind w:left="720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4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1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1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1252</Words>
  <Characters>6887</Characters>
  <Application>Microsoft Office Outlook</Application>
  <DocSecurity>0</DocSecurity>
  <Lines>0</Lines>
  <Paragraphs>0</Paragraphs>
  <ScaleCrop>false</ScaleCrop>
  <Company>FADSP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“GASTO FARMACÉUTICO Y CALIDAD ASISTENCIAL”</dc:title>
  <dc:subject/>
  <dc:creator>Usuario de Microsoft Office</dc:creator>
  <cp:keywords/>
  <dc:description/>
  <cp:lastModifiedBy>FADSP</cp:lastModifiedBy>
  <cp:revision>3</cp:revision>
  <dcterms:created xsi:type="dcterms:W3CDTF">2018-10-30T17:07:00Z</dcterms:created>
  <dcterms:modified xsi:type="dcterms:W3CDTF">2018-10-30T17:08:00Z</dcterms:modified>
</cp:coreProperties>
</file>