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8C" w:rsidRDefault="00D05D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E9186D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4.75pt">
            <v:imagedata r:id="rId7" o:title="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E9186D">
        <w:rPr>
          <w:rFonts w:ascii="Arial" w:hAnsi="Arial" w:cs="Arial"/>
          <w:b/>
          <w:bCs/>
          <w:sz w:val="24"/>
          <w:szCs w:val="24"/>
        </w:rPr>
        <w:pict>
          <v:shape id="_x0000_i1026" type="#_x0000_t75" style="width:99pt;height:99pt">
            <v:imagedata r:id="rId8" o:title=""/>
          </v:shape>
        </w:pict>
      </w:r>
    </w:p>
    <w:p w:rsidR="00D05D8C" w:rsidRPr="00A53D43" w:rsidRDefault="00D05D8C" w:rsidP="00A53D4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53D43">
        <w:rPr>
          <w:rFonts w:ascii="Arial" w:hAnsi="Arial" w:cs="Arial"/>
          <w:b/>
          <w:bCs/>
          <w:i/>
          <w:iCs/>
          <w:sz w:val="28"/>
          <w:szCs w:val="28"/>
        </w:rPr>
        <w:t>LA ESCASEZ DE CAMAS DE MEDIA Y LARGA ESTANCIA EN LA COMUNIDAD DE MADRID</w:t>
      </w:r>
      <w:bookmarkStart w:id="0" w:name="_GoBack"/>
      <w:bookmarkEnd w:id="0"/>
    </w:p>
    <w:p w:rsidR="00D05D8C" w:rsidRDefault="00D05D8C">
      <w:pPr>
        <w:rPr>
          <w:rFonts w:ascii="Arial" w:hAnsi="Arial" w:cs="Arial"/>
          <w:b/>
          <w:bCs/>
          <w:sz w:val="24"/>
          <w:szCs w:val="24"/>
        </w:rPr>
      </w:pPr>
    </w:p>
    <w:p w:rsidR="00D05D8C" w:rsidRPr="002364F3" w:rsidRDefault="00D05D8C" w:rsidP="00AC1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364F3">
        <w:rPr>
          <w:rFonts w:ascii="Arial" w:hAnsi="Arial" w:cs="Arial"/>
          <w:sz w:val="24"/>
          <w:szCs w:val="24"/>
        </w:rPr>
        <w:t xml:space="preserve">egún los datos de la OCDE (Health Data 2016), en 2014 el promedio de camas </w:t>
      </w:r>
      <w:r>
        <w:rPr>
          <w:rFonts w:ascii="Arial" w:hAnsi="Arial" w:cs="Arial"/>
          <w:sz w:val="24"/>
          <w:szCs w:val="24"/>
        </w:rPr>
        <w:t xml:space="preserve">hospitalarias </w:t>
      </w:r>
      <w:r w:rsidRPr="002364F3">
        <w:rPr>
          <w:rFonts w:ascii="Arial" w:hAnsi="Arial" w:cs="Arial"/>
          <w:sz w:val="24"/>
          <w:szCs w:val="24"/>
        </w:rPr>
        <w:t xml:space="preserve">totales por 1000 habitantes de los 34 países </w:t>
      </w:r>
      <w:r>
        <w:rPr>
          <w:rFonts w:ascii="Arial" w:hAnsi="Arial" w:cs="Arial"/>
          <w:sz w:val="24"/>
          <w:szCs w:val="24"/>
        </w:rPr>
        <w:t>incluidos en este organismo  es de 4,7, de las cuales 1,1 so</w:t>
      </w:r>
      <w:r w:rsidRPr="00E871E3">
        <w:rPr>
          <w:rFonts w:ascii="Arial" w:hAnsi="Arial" w:cs="Arial"/>
          <w:sz w:val="24"/>
          <w:szCs w:val="24"/>
        </w:rPr>
        <w:t>n de media y larga estancia en el promedio de la OCDE (</w:t>
      </w:r>
      <w:r>
        <w:rPr>
          <w:rFonts w:ascii="Arial" w:hAnsi="Arial" w:cs="Arial"/>
          <w:sz w:val="24"/>
          <w:szCs w:val="24"/>
        </w:rPr>
        <w:t xml:space="preserve">el </w:t>
      </w:r>
      <w:r w:rsidRPr="00E871E3">
        <w:rPr>
          <w:rFonts w:ascii="Arial" w:hAnsi="Arial" w:cs="Arial"/>
          <w:sz w:val="24"/>
          <w:szCs w:val="24"/>
        </w:rPr>
        <w:t>23,4%)</w:t>
      </w:r>
      <w:r>
        <w:rPr>
          <w:rFonts w:ascii="Arial" w:hAnsi="Arial" w:cs="Arial"/>
          <w:sz w:val="24"/>
          <w:szCs w:val="24"/>
        </w:rPr>
        <w:t>. Sin embargo, en España tenemos una media de 3 camas por 1000 habitantes</w:t>
      </w:r>
      <w:r w:rsidRPr="002364F3">
        <w:rPr>
          <w:rFonts w:ascii="Arial" w:hAnsi="Arial" w:cs="Arial"/>
          <w:sz w:val="24"/>
          <w:szCs w:val="24"/>
        </w:rPr>
        <w:t xml:space="preserve">, de las cuales 0,6 </w:t>
      </w:r>
      <w:r>
        <w:rPr>
          <w:rFonts w:ascii="Arial" w:hAnsi="Arial" w:cs="Arial"/>
          <w:sz w:val="24"/>
          <w:szCs w:val="24"/>
        </w:rPr>
        <w:t>son de media y larga estancia</w:t>
      </w:r>
      <w:r w:rsidRPr="002364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el 20%). E</w:t>
      </w:r>
      <w:r w:rsidRPr="002364F3">
        <w:rPr>
          <w:rFonts w:ascii="Arial" w:hAnsi="Arial" w:cs="Arial"/>
          <w:sz w:val="24"/>
          <w:szCs w:val="24"/>
        </w:rPr>
        <w:t>s decir</w:t>
      </w:r>
      <w:r>
        <w:rPr>
          <w:rFonts w:ascii="Arial" w:hAnsi="Arial" w:cs="Arial"/>
          <w:sz w:val="24"/>
          <w:szCs w:val="24"/>
        </w:rPr>
        <w:t>,</w:t>
      </w:r>
      <w:r w:rsidRPr="002364F3">
        <w:rPr>
          <w:rFonts w:ascii="Arial" w:hAnsi="Arial" w:cs="Arial"/>
          <w:sz w:val="24"/>
          <w:szCs w:val="24"/>
        </w:rPr>
        <w:t xml:space="preserve"> nuestro país se caracteriza por una baja densidad de camas por 1.000 habitantes  en camas de agudos  (</w:t>
      </w:r>
      <w:r>
        <w:rPr>
          <w:rFonts w:ascii="Arial" w:hAnsi="Arial" w:cs="Arial"/>
          <w:sz w:val="24"/>
          <w:szCs w:val="24"/>
        </w:rPr>
        <w:t xml:space="preserve">el </w:t>
      </w:r>
      <w:r w:rsidRPr="002364F3">
        <w:rPr>
          <w:rFonts w:ascii="Arial" w:hAnsi="Arial" w:cs="Arial"/>
          <w:sz w:val="24"/>
          <w:szCs w:val="24"/>
        </w:rPr>
        <w:t>33% menos que el promedio OCDE) y más aún en las  de crónicos (</w:t>
      </w:r>
      <w:r>
        <w:rPr>
          <w:rFonts w:ascii="Arial" w:hAnsi="Arial" w:cs="Arial"/>
          <w:sz w:val="24"/>
          <w:szCs w:val="24"/>
        </w:rPr>
        <w:t xml:space="preserve">el </w:t>
      </w:r>
      <w:r w:rsidRPr="002364F3">
        <w:rPr>
          <w:rFonts w:ascii="Arial" w:hAnsi="Arial" w:cs="Arial"/>
          <w:sz w:val="24"/>
          <w:szCs w:val="24"/>
        </w:rPr>
        <w:t>45% menos).</w:t>
      </w:r>
    </w:p>
    <w:p w:rsidR="00D05D8C" w:rsidRPr="002364F3" w:rsidRDefault="00D05D8C" w:rsidP="00AC1AAE">
      <w:p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>Si nos comparamos con la Unión Europea la situación es parecida. El número total de camas /1000 habitantes era de 5,21 en 201</w:t>
      </w:r>
      <w:r>
        <w:rPr>
          <w:rFonts w:ascii="Arial" w:hAnsi="Arial" w:cs="Arial"/>
          <w:sz w:val="24"/>
          <w:szCs w:val="24"/>
        </w:rPr>
        <w:t>4 (Eurostat 2016) y el porcentaj</w:t>
      </w:r>
      <w:r w:rsidRPr="002364F3">
        <w:rPr>
          <w:rFonts w:ascii="Arial" w:hAnsi="Arial" w:cs="Arial"/>
          <w:sz w:val="24"/>
          <w:szCs w:val="24"/>
        </w:rPr>
        <w:t>e de camas de media y larga estancia era el 24,03% del total.</w:t>
      </w:r>
    </w:p>
    <w:p w:rsidR="00D05D8C" w:rsidRPr="002364F3" w:rsidRDefault="00D05D8C" w:rsidP="00AC1A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los recortes efectuados</w:t>
      </w:r>
      <w:r w:rsidRPr="002364F3">
        <w:rPr>
          <w:rFonts w:ascii="Arial" w:hAnsi="Arial" w:cs="Arial"/>
          <w:sz w:val="24"/>
          <w:szCs w:val="24"/>
        </w:rPr>
        <w:t xml:space="preserve"> con la excusa de la crisis, esta defici</w:t>
      </w:r>
      <w:r>
        <w:rPr>
          <w:rFonts w:ascii="Arial" w:hAnsi="Arial" w:cs="Arial"/>
          <w:sz w:val="24"/>
          <w:szCs w:val="24"/>
        </w:rPr>
        <w:t>encia de camas en España empeoró</w:t>
      </w:r>
      <w:r w:rsidRPr="002364F3">
        <w:rPr>
          <w:rFonts w:ascii="Arial" w:hAnsi="Arial" w:cs="Arial"/>
          <w:sz w:val="24"/>
          <w:szCs w:val="24"/>
        </w:rPr>
        <w:t>, pasándose, según la misma fuente, de 3,2 camas en 2009 a 3 en 2014 (9.340 camas menos en todo el país), recorte que se llevó a cabo tanto en camas de agudos como de crónicos (1 décima menos en cada caso).</w:t>
      </w:r>
    </w:p>
    <w:p w:rsidR="00D05D8C" w:rsidRPr="002364F3" w:rsidRDefault="00D05D8C" w:rsidP="00AC1AAE">
      <w:p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 xml:space="preserve">La Comunidad de Madrid ha </w:t>
      </w:r>
      <w:r>
        <w:rPr>
          <w:rFonts w:ascii="Arial" w:hAnsi="Arial" w:cs="Arial"/>
          <w:sz w:val="24"/>
          <w:szCs w:val="24"/>
        </w:rPr>
        <w:t>tenido una evolución parecida. La situación de</w:t>
      </w:r>
      <w:r w:rsidRPr="002364F3">
        <w:rPr>
          <w:rFonts w:ascii="Arial" w:hAnsi="Arial" w:cs="Arial"/>
          <w:sz w:val="24"/>
          <w:szCs w:val="24"/>
        </w:rPr>
        <w:t xml:space="preserve"> déficit</w:t>
      </w:r>
      <w:r>
        <w:rPr>
          <w:rFonts w:ascii="Arial" w:hAnsi="Arial" w:cs="Arial"/>
          <w:sz w:val="24"/>
          <w:szCs w:val="24"/>
        </w:rPr>
        <w:t xml:space="preserve"> crónico de camas hospitalarias</w:t>
      </w:r>
      <w:r w:rsidRPr="002364F3">
        <w:rPr>
          <w:rFonts w:ascii="Arial" w:hAnsi="Arial" w:cs="Arial"/>
          <w:sz w:val="24"/>
          <w:szCs w:val="24"/>
        </w:rPr>
        <w:t xml:space="preserve"> se ha ido incrementando con los años. En 2001 cuando se asumen las transferencias había 3,4 camas por 1000 habitantes que han pasado a ser 2,9 en 2014, con lo que resulta que, aunque pudiera parecer increíble, después de abrir 11 </w:t>
      </w:r>
      <w:r>
        <w:rPr>
          <w:rFonts w:ascii="Arial" w:hAnsi="Arial" w:cs="Arial"/>
          <w:sz w:val="24"/>
          <w:szCs w:val="24"/>
        </w:rPr>
        <w:t xml:space="preserve">nuevos </w:t>
      </w:r>
      <w:r w:rsidRPr="002364F3">
        <w:rPr>
          <w:rFonts w:ascii="Arial" w:hAnsi="Arial" w:cs="Arial"/>
          <w:sz w:val="24"/>
          <w:szCs w:val="24"/>
        </w:rPr>
        <w:t>hospitales</w:t>
      </w:r>
      <w:r>
        <w:rPr>
          <w:rFonts w:ascii="Arial" w:hAnsi="Arial" w:cs="Arial"/>
          <w:sz w:val="24"/>
          <w:szCs w:val="24"/>
        </w:rPr>
        <w:t xml:space="preserve"> en los últimos años,</w:t>
      </w:r>
      <w:r w:rsidRPr="002364F3">
        <w:rPr>
          <w:rFonts w:ascii="Arial" w:hAnsi="Arial" w:cs="Arial"/>
          <w:sz w:val="24"/>
          <w:szCs w:val="24"/>
        </w:rPr>
        <w:t xml:space="preserve"> se ha conseguido </w:t>
      </w:r>
      <w:r>
        <w:rPr>
          <w:rFonts w:ascii="Arial" w:hAnsi="Arial" w:cs="Arial"/>
          <w:sz w:val="24"/>
          <w:szCs w:val="24"/>
        </w:rPr>
        <w:t>que el número de camas hospitalarias en la actualidad sea inferior al que había antes de abrirlos.</w:t>
      </w:r>
    </w:p>
    <w:p w:rsidR="00D05D8C" w:rsidRPr="002364F3" w:rsidRDefault="00D05D8C" w:rsidP="00AC1AAE">
      <w:p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 xml:space="preserve">Las camas públicas también han recibido el correspondiente castigo, </w:t>
      </w:r>
      <w:r>
        <w:rPr>
          <w:rFonts w:ascii="Arial" w:hAnsi="Arial" w:cs="Arial"/>
          <w:sz w:val="24"/>
          <w:szCs w:val="24"/>
        </w:rPr>
        <w:t>especialmente después de 2009. S</w:t>
      </w:r>
      <w:r w:rsidRPr="002364F3">
        <w:rPr>
          <w:rFonts w:ascii="Arial" w:hAnsi="Arial" w:cs="Arial"/>
          <w:sz w:val="24"/>
          <w:szCs w:val="24"/>
        </w:rPr>
        <w:t xml:space="preserve">egún los datos oficiales de las Memorias del SERMAS, pasaron de </w:t>
      </w:r>
      <w:r>
        <w:rPr>
          <w:rFonts w:ascii="Arial" w:hAnsi="Arial" w:cs="Arial"/>
          <w:sz w:val="24"/>
          <w:szCs w:val="24"/>
        </w:rPr>
        <w:t xml:space="preserve">las </w:t>
      </w:r>
      <w:r w:rsidRPr="002364F3">
        <w:rPr>
          <w:rFonts w:ascii="Arial" w:hAnsi="Arial" w:cs="Arial"/>
          <w:sz w:val="24"/>
          <w:szCs w:val="24"/>
        </w:rPr>
        <w:t xml:space="preserve">15.531 </w:t>
      </w:r>
      <w:r>
        <w:rPr>
          <w:rFonts w:ascii="Arial" w:hAnsi="Arial" w:cs="Arial"/>
          <w:sz w:val="24"/>
          <w:szCs w:val="24"/>
        </w:rPr>
        <w:t xml:space="preserve">camas que había </w:t>
      </w:r>
      <w:r w:rsidRPr="002364F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se</w:t>
      </w:r>
      <w:r w:rsidRPr="002364F3">
        <w:rPr>
          <w:rFonts w:ascii="Arial" w:hAnsi="Arial" w:cs="Arial"/>
          <w:sz w:val="24"/>
          <w:szCs w:val="24"/>
        </w:rPr>
        <w:t xml:space="preserve"> año a 15.035 en 2015 (496 camas</w:t>
      </w:r>
      <w:r>
        <w:rPr>
          <w:rFonts w:ascii="Arial" w:hAnsi="Arial" w:cs="Arial"/>
          <w:sz w:val="24"/>
          <w:szCs w:val="24"/>
        </w:rPr>
        <w:t xml:space="preserve"> menos</w:t>
      </w:r>
      <w:r w:rsidRPr="002364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disminución d</w:t>
      </w:r>
      <w:r w:rsidRPr="002364F3">
        <w:rPr>
          <w:rFonts w:ascii="Arial" w:hAnsi="Arial" w:cs="Arial"/>
          <w:sz w:val="24"/>
          <w:szCs w:val="24"/>
        </w:rPr>
        <w:t>el 3,19%</w:t>
      </w:r>
      <w:r>
        <w:rPr>
          <w:rFonts w:ascii="Arial" w:hAnsi="Arial" w:cs="Arial"/>
          <w:sz w:val="24"/>
          <w:szCs w:val="24"/>
        </w:rPr>
        <w:t>)</w:t>
      </w:r>
      <w:r w:rsidRPr="002364F3">
        <w:rPr>
          <w:rFonts w:ascii="Arial" w:hAnsi="Arial" w:cs="Arial"/>
          <w:sz w:val="24"/>
          <w:szCs w:val="24"/>
        </w:rPr>
        <w:t xml:space="preserve">  siendo el número de camas de media y larga estancia de 574 instaladas (3,81%) de las que </w:t>
      </w:r>
      <w:r>
        <w:rPr>
          <w:rFonts w:ascii="Arial" w:hAnsi="Arial" w:cs="Arial"/>
          <w:sz w:val="24"/>
          <w:szCs w:val="24"/>
        </w:rPr>
        <w:t xml:space="preserve">solo </w:t>
      </w:r>
      <w:r w:rsidRPr="002364F3">
        <w:rPr>
          <w:rFonts w:ascii="Arial" w:hAnsi="Arial" w:cs="Arial"/>
          <w:sz w:val="24"/>
          <w:szCs w:val="24"/>
        </w:rPr>
        <w:t xml:space="preserve">son funcionantes 503 (el 87,62% de las mismas) un porcentaje mayor que el que tienen el total de las camas públicas (83,65%). </w:t>
      </w:r>
    </w:p>
    <w:p w:rsidR="00D05D8C" w:rsidRDefault="00D05D8C" w:rsidP="00AC1AAE">
      <w:pPr>
        <w:jc w:val="both"/>
        <w:rPr>
          <w:rFonts w:ascii="Arial" w:hAnsi="Arial" w:cs="Arial"/>
          <w:sz w:val="24"/>
          <w:szCs w:val="24"/>
        </w:rPr>
      </w:pPr>
    </w:p>
    <w:p w:rsidR="00D05D8C" w:rsidRPr="002364F3" w:rsidRDefault="00D05D8C" w:rsidP="00AC1AAE">
      <w:p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>Esta disminución se ha realizado sobre todo en los grandes hospitales, tal y como se observa en la Tabla siguiente:</w:t>
      </w:r>
    </w:p>
    <w:p w:rsidR="00D05D8C" w:rsidRPr="001A7A75" w:rsidRDefault="00D05D8C" w:rsidP="00AC1AA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7A75">
        <w:rPr>
          <w:rFonts w:ascii="Arial" w:hAnsi="Arial" w:cs="Arial"/>
          <w:b/>
          <w:bCs/>
          <w:sz w:val="24"/>
          <w:szCs w:val="24"/>
        </w:rPr>
        <w:t>Evolución del número de camas de los grandes hospitales públicos madrileños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2123"/>
        <w:gridCol w:w="2124"/>
        <w:gridCol w:w="2124"/>
      </w:tblGrid>
      <w:tr w:rsidR="00D05D8C" w:rsidRPr="002364F3"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Disminución</w:t>
            </w:r>
          </w:p>
        </w:tc>
      </w:tr>
      <w:tr w:rsidR="00D05D8C" w:rsidRPr="002364F3"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12 Octubre</w:t>
            </w:r>
          </w:p>
        </w:tc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1.370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1.287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D05D8C" w:rsidRPr="002364F3"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Clínico</w:t>
            </w:r>
          </w:p>
        </w:tc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D05D8C" w:rsidRPr="002364F3"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Gregorio Marañón</w:t>
            </w:r>
          </w:p>
        </w:tc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1.728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1.671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D05D8C" w:rsidRPr="002364F3"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La Paz</w:t>
            </w:r>
          </w:p>
        </w:tc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1.531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1.303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</w:tr>
      <w:tr w:rsidR="00D05D8C" w:rsidRPr="002364F3"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Ramón y Cajal</w:t>
            </w:r>
          </w:p>
        </w:tc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1.155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D05D8C" w:rsidRPr="002364F3"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23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6.807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6.116</w:t>
            </w:r>
          </w:p>
        </w:tc>
        <w:tc>
          <w:tcPr>
            <w:tcW w:w="2124" w:type="dxa"/>
          </w:tcPr>
          <w:p w:rsidR="00D05D8C" w:rsidRPr="002364F3" w:rsidRDefault="00D05D8C" w:rsidP="001A09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64F3">
              <w:rPr>
                <w:rFonts w:ascii="Arial" w:hAnsi="Arial" w:cs="Arial"/>
                <w:sz w:val="24"/>
                <w:szCs w:val="24"/>
              </w:rPr>
              <w:t>691 (-10,15%)</w:t>
            </w:r>
          </w:p>
        </w:tc>
      </w:tr>
    </w:tbl>
    <w:p w:rsidR="00D05D8C" w:rsidRDefault="00D05D8C" w:rsidP="00DB4471">
      <w:pPr>
        <w:jc w:val="both"/>
        <w:rPr>
          <w:rFonts w:ascii="Arial" w:hAnsi="Arial" w:cs="Arial"/>
          <w:sz w:val="24"/>
          <w:szCs w:val="24"/>
        </w:rPr>
      </w:pPr>
    </w:p>
    <w:p w:rsidR="00D05D8C" w:rsidRPr="00DB4471" w:rsidRDefault="00D05D8C" w:rsidP="00DB4471">
      <w:pPr>
        <w:jc w:val="both"/>
        <w:rPr>
          <w:rFonts w:ascii="Arial" w:hAnsi="Arial" w:cs="Arial"/>
          <w:sz w:val="24"/>
          <w:szCs w:val="24"/>
        </w:rPr>
      </w:pPr>
      <w:r w:rsidRPr="00DB4471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escasez </w:t>
      </w:r>
      <w:r w:rsidRPr="00DB4471">
        <w:rPr>
          <w:rFonts w:ascii="Arial" w:hAnsi="Arial" w:cs="Arial"/>
          <w:sz w:val="24"/>
          <w:szCs w:val="24"/>
        </w:rPr>
        <w:t xml:space="preserve">de camas de media y larga estancia es </w:t>
      </w:r>
      <w:r>
        <w:rPr>
          <w:rFonts w:ascii="Arial" w:hAnsi="Arial" w:cs="Arial"/>
          <w:sz w:val="24"/>
          <w:szCs w:val="24"/>
        </w:rPr>
        <w:t xml:space="preserve">un problema crónico </w:t>
      </w:r>
      <w:r w:rsidRPr="00DB4471">
        <w:rPr>
          <w:rFonts w:ascii="Arial" w:hAnsi="Arial" w:cs="Arial"/>
          <w:sz w:val="24"/>
          <w:szCs w:val="24"/>
        </w:rPr>
        <w:t>en nuestro sistema san</w:t>
      </w:r>
      <w:r>
        <w:rPr>
          <w:rFonts w:ascii="Arial" w:hAnsi="Arial" w:cs="Arial"/>
          <w:sz w:val="24"/>
          <w:szCs w:val="24"/>
        </w:rPr>
        <w:t>itario desde hace tiempo. E</w:t>
      </w:r>
      <w:r w:rsidRPr="00DB447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sistema sanitario español </w:t>
      </w:r>
      <w:r w:rsidRPr="00DB4471">
        <w:rPr>
          <w:rFonts w:ascii="Arial" w:hAnsi="Arial" w:cs="Arial"/>
          <w:sz w:val="24"/>
          <w:szCs w:val="24"/>
        </w:rPr>
        <w:t xml:space="preserve">nació y creció ligado a la Seguridad Social </w:t>
      </w:r>
      <w:r>
        <w:rPr>
          <w:rFonts w:ascii="Arial" w:hAnsi="Arial" w:cs="Arial"/>
          <w:sz w:val="24"/>
          <w:szCs w:val="24"/>
        </w:rPr>
        <w:t xml:space="preserve">que se planteaba </w:t>
      </w:r>
      <w:r w:rsidRPr="00DB4471">
        <w:rPr>
          <w:rFonts w:ascii="Arial" w:hAnsi="Arial" w:cs="Arial"/>
          <w:sz w:val="24"/>
          <w:szCs w:val="24"/>
        </w:rPr>
        <w:t>actua</w:t>
      </w:r>
      <w:r>
        <w:rPr>
          <w:rFonts w:ascii="Arial" w:hAnsi="Arial" w:cs="Arial"/>
          <w:sz w:val="24"/>
          <w:szCs w:val="24"/>
        </w:rPr>
        <w:t>r sobre la salud de lo</w:t>
      </w:r>
      <w:r w:rsidRPr="00DB4471">
        <w:rPr>
          <w:rFonts w:ascii="Arial" w:hAnsi="Arial" w:cs="Arial"/>
          <w:sz w:val="24"/>
          <w:szCs w:val="24"/>
        </w:rPr>
        <w:t>s trabajadores y</w:t>
      </w:r>
      <w:r>
        <w:rPr>
          <w:rFonts w:ascii="Arial" w:hAnsi="Arial" w:cs="Arial"/>
          <w:sz w:val="24"/>
          <w:szCs w:val="24"/>
        </w:rPr>
        <w:t>,</w:t>
      </w:r>
      <w:r w:rsidRPr="00DB4471">
        <w:rPr>
          <w:rFonts w:ascii="Arial" w:hAnsi="Arial" w:cs="Arial"/>
          <w:sz w:val="24"/>
          <w:szCs w:val="24"/>
        </w:rPr>
        <w:t xml:space="preserve"> por lo tanto</w:t>
      </w:r>
      <w:r>
        <w:rPr>
          <w:rFonts w:ascii="Arial" w:hAnsi="Arial" w:cs="Arial"/>
          <w:sz w:val="24"/>
          <w:szCs w:val="24"/>
        </w:rPr>
        <w:t>,</w:t>
      </w:r>
      <w:r w:rsidRPr="00DB4471">
        <w:rPr>
          <w:rFonts w:ascii="Arial" w:hAnsi="Arial" w:cs="Arial"/>
          <w:sz w:val="24"/>
          <w:szCs w:val="24"/>
        </w:rPr>
        <w:t xml:space="preserve"> centrada en la asistencia a los enfermos agudos, dejando la atención de los pacientes crónicos a los hospitales de beneficencia.</w:t>
      </w:r>
    </w:p>
    <w:p w:rsidR="00D05D8C" w:rsidRPr="002364F3" w:rsidRDefault="00D05D8C" w:rsidP="00DB4471">
      <w:pPr>
        <w:jc w:val="both"/>
        <w:rPr>
          <w:rFonts w:ascii="Arial" w:hAnsi="Arial" w:cs="Arial"/>
          <w:sz w:val="24"/>
          <w:szCs w:val="24"/>
        </w:rPr>
      </w:pPr>
      <w:r w:rsidRPr="00DB4471">
        <w:rPr>
          <w:rFonts w:ascii="Arial" w:hAnsi="Arial" w:cs="Arial"/>
          <w:sz w:val="24"/>
          <w:szCs w:val="24"/>
        </w:rPr>
        <w:t>Si desde  hace cuarenta años es una necesidad, al día de hoy</w:t>
      </w:r>
      <w:r>
        <w:rPr>
          <w:rFonts w:ascii="Arial" w:hAnsi="Arial" w:cs="Arial"/>
          <w:sz w:val="24"/>
          <w:szCs w:val="24"/>
        </w:rPr>
        <w:t>,</w:t>
      </w:r>
      <w:r w:rsidRPr="00DB4471">
        <w:rPr>
          <w:rFonts w:ascii="Arial" w:hAnsi="Arial" w:cs="Arial"/>
          <w:sz w:val="24"/>
          <w:szCs w:val="24"/>
        </w:rPr>
        <w:t xml:space="preserve"> con una población más envejecida y una esperanza de vida cada vez más prolongada</w:t>
      </w:r>
      <w:r>
        <w:rPr>
          <w:rFonts w:ascii="Arial" w:hAnsi="Arial" w:cs="Arial"/>
          <w:sz w:val="24"/>
          <w:szCs w:val="24"/>
        </w:rPr>
        <w:t>, es una urgencia</w:t>
      </w:r>
      <w:r w:rsidRPr="00DB4471">
        <w:rPr>
          <w:rFonts w:ascii="Arial" w:hAnsi="Arial" w:cs="Arial"/>
          <w:sz w:val="24"/>
          <w:szCs w:val="24"/>
        </w:rPr>
        <w:t xml:space="preserve"> que se ira agravando, disponer de más camas </w:t>
      </w:r>
      <w:r>
        <w:rPr>
          <w:rFonts w:ascii="Arial" w:hAnsi="Arial" w:cs="Arial"/>
          <w:sz w:val="24"/>
          <w:szCs w:val="24"/>
        </w:rPr>
        <w:t>para larga y media estancia. Es imprescindible</w:t>
      </w:r>
      <w:r w:rsidRPr="00DB4471">
        <w:rPr>
          <w:rFonts w:ascii="Arial" w:hAnsi="Arial" w:cs="Arial"/>
          <w:sz w:val="24"/>
          <w:szCs w:val="24"/>
        </w:rPr>
        <w:t xml:space="preserve"> un estudio planificado de las nec</w:t>
      </w:r>
      <w:r>
        <w:rPr>
          <w:rFonts w:ascii="Arial" w:hAnsi="Arial" w:cs="Arial"/>
          <w:sz w:val="24"/>
          <w:szCs w:val="24"/>
        </w:rPr>
        <w:t>esidades</w:t>
      </w:r>
      <w:r w:rsidRPr="00DB4471">
        <w:rPr>
          <w:rFonts w:ascii="Arial" w:hAnsi="Arial" w:cs="Arial"/>
          <w:sz w:val="24"/>
          <w:szCs w:val="24"/>
        </w:rPr>
        <w:t xml:space="preserve"> ya que el envejecimiento de la población se produce en toda la geografía y no solo en determinadas zonas, como a veces parece ser el razonamiento</w:t>
      </w:r>
      <w:r>
        <w:rPr>
          <w:rFonts w:ascii="Arial" w:hAnsi="Arial" w:cs="Arial"/>
          <w:sz w:val="24"/>
          <w:szCs w:val="24"/>
        </w:rPr>
        <w:t xml:space="preserve"> de la administración sanitaria. Esta,</w:t>
      </w:r>
      <w:r w:rsidRPr="00DB4471">
        <w:rPr>
          <w:rFonts w:ascii="Arial" w:hAnsi="Arial" w:cs="Arial"/>
          <w:sz w:val="24"/>
          <w:szCs w:val="24"/>
        </w:rPr>
        <w:t xml:space="preserve"> con sus decisiones partidistas</w:t>
      </w:r>
      <w:r>
        <w:rPr>
          <w:rFonts w:ascii="Arial" w:hAnsi="Arial" w:cs="Arial"/>
          <w:sz w:val="24"/>
          <w:szCs w:val="24"/>
        </w:rPr>
        <w:t>,</w:t>
      </w:r>
      <w:r w:rsidRPr="00DB4471">
        <w:rPr>
          <w:rFonts w:ascii="Arial" w:hAnsi="Arial" w:cs="Arial"/>
          <w:sz w:val="24"/>
          <w:szCs w:val="24"/>
        </w:rPr>
        <w:t xml:space="preserve">  parece  que intenta aprovecharse de la situación, como sucedió con la crisis,  para favorecer los intereses del sector privado, más  que para solucionar problemas que afectan a la ciudadanía.</w:t>
      </w:r>
    </w:p>
    <w:p w:rsidR="00D05D8C" w:rsidRPr="002364F3" w:rsidRDefault="00D05D8C" w:rsidP="00AC1AAE">
      <w:p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>Aunque no existen datos concretos sobre las necesidades específicas de camas de media y larga estanc</w:t>
      </w:r>
      <w:r>
        <w:rPr>
          <w:rFonts w:ascii="Arial" w:hAnsi="Arial" w:cs="Arial"/>
          <w:sz w:val="24"/>
          <w:szCs w:val="24"/>
        </w:rPr>
        <w:t>ia en la Comunidad de Madrid (sí</w:t>
      </w:r>
      <w:r w:rsidRPr="002364F3">
        <w:rPr>
          <w:rFonts w:ascii="Arial" w:hAnsi="Arial" w:cs="Arial"/>
          <w:sz w:val="24"/>
          <w:szCs w:val="24"/>
        </w:rPr>
        <w:t xml:space="preserve"> los hay sobre camas geriátricas que no es lo mismo), parece razonable pensar que se precisaría un aumento del número global de camas hospitalarias y </w:t>
      </w:r>
      <w:r>
        <w:rPr>
          <w:rFonts w:ascii="Arial" w:hAnsi="Arial" w:cs="Arial"/>
          <w:sz w:val="24"/>
          <w:szCs w:val="24"/>
        </w:rPr>
        <w:t>que necesitaríamos conseguir al menos un</w:t>
      </w:r>
      <w:r w:rsidRPr="002364F3">
        <w:rPr>
          <w:rFonts w:ascii="Arial" w:hAnsi="Arial" w:cs="Arial"/>
          <w:sz w:val="24"/>
          <w:szCs w:val="24"/>
        </w:rPr>
        <w:t xml:space="preserve"> promedio de camas de media y larga estancia</w:t>
      </w:r>
      <w:r>
        <w:rPr>
          <w:rFonts w:ascii="Arial" w:hAnsi="Arial" w:cs="Arial"/>
          <w:sz w:val="24"/>
          <w:szCs w:val="24"/>
        </w:rPr>
        <w:t xml:space="preserve"> similar al</w:t>
      </w:r>
      <w:r w:rsidRPr="002364F3">
        <w:rPr>
          <w:rFonts w:ascii="Arial" w:hAnsi="Arial" w:cs="Arial"/>
          <w:sz w:val="24"/>
          <w:szCs w:val="24"/>
        </w:rPr>
        <w:t xml:space="preserve"> de la OCDE</w:t>
      </w:r>
      <w:r>
        <w:rPr>
          <w:rFonts w:ascii="Arial" w:hAnsi="Arial" w:cs="Arial"/>
          <w:sz w:val="24"/>
          <w:szCs w:val="24"/>
        </w:rPr>
        <w:t>,</w:t>
      </w:r>
      <w:r w:rsidRPr="002364F3">
        <w:rPr>
          <w:rFonts w:ascii="Arial" w:hAnsi="Arial" w:cs="Arial"/>
          <w:sz w:val="24"/>
          <w:szCs w:val="24"/>
        </w:rPr>
        <w:t xml:space="preserve"> lo que supondrían 7.113 camas en la región (8.100 si nos propusiéramos alcanzar el promedio de la UE).</w:t>
      </w:r>
    </w:p>
    <w:p w:rsidR="00D05D8C" w:rsidRDefault="00D05D8C" w:rsidP="00AC1AAE">
      <w:pPr>
        <w:jc w:val="both"/>
        <w:rPr>
          <w:rFonts w:ascii="Arial" w:hAnsi="Arial" w:cs="Arial"/>
          <w:sz w:val="24"/>
          <w:szCs w:val="24"/>
        </w:rPr>
      </w:pPr>
    </w:p>
    <w:p w:rsidR="00D05D8C" w:rsidRDefault="00D05D8C" w:rsidP="00AC1AAE">
      <w:pPr>
        <w:jc w:val="both"/>
        <w:rPr>
          <w:rFonts w:ascii="Arial" w:hAnsi="Arial" w:cs="Arial"/>
          <w:sz w:val="24"/>
          <w:szCs w:val="24"/>
        </w:rPr>
      </w:pPr>
    </w:p>
    <w:p w:rsidR="00D05D8C" w:rsidRDefault="00D05D8C" w:rsidP="00AC1AAE">
      <w:pPr>
        <w:jc w:val="both"/>
        <w:rPr>
          <w:rFonts w:ascii="Arial" w:hAnsi="Arial" w:cs="Arial"/>
          <w:sz w:val="24"/>
          <w:szCs w:val="24"/>
        </w:rPr>
      </w:pPr>
    </w:p>
    <w:p w:rsidR="00D05D8C" w:rsidRDefault="00D05D8C" w:rsidP="00AC1AAE">
      <w:pPr>
        <w:jc w:val="both"/>
        <w:rPr>
          <w:rFonts w:ascii="Arial" w:hAnsi="Arial" w:cs="Arial"/>
          <w:sz w:val="24"/>
          <w:szCs w:val="24"/>
        </w:rPr>
      </w:pPr>
    </w:p>
    <w:p w:rsidR="00D05D8C" w:rsidRDefault="00D05D8C" w:rsidP="00AC1AAE">
      <w:pPr>
        <w:jc w:val="both"/>
        <w:rPr>
          <w:rFonts w:ascii="Arial" w:hAnsi="Arial" w:cs="Arial"/>
          <w:sz w:val="24"/>
          <w:szCs w:val="24"/>
        </w:rPr>
      </w:pPr>
    </w:p>
    <w:p w:rsidR="00D05D8C" w:rsidRPr="002364F3" w:rsidRDefault="00D05D8C" w:rsidP="00AC1AAE">
      <w:p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>En esta si</w:t>
      </w:r>
      <w:r>
        <w:rPr>
          <w:rFonts w:ascii="Arial" w:hAnsi="Arial" w:cs="Arial"/>
          <w:sz w:val="24"/>
          <w:szCs w:val="24"/>
        </w:rPr>
        <w:t>tuación ¿qué se debe hacer?</w:t>
      </w:r>
      <w:r w:rsidRPr="002364F3">
        <w:rPr>
          <w:rFonts w:ascii="Arial" w:hAnsi="Arial" w:cs="Arial"/>
          <w:sz w:val="24"/>
          <w:szCs w:val="24"/>
        </w:rPr>
        <w:t xml:space="preserve"> Desde la </w:t>
      </w:r>
      <w:r w:rsidRPr="002364F3">
        <w:rPr>
          <w:rFonts w:ascii="Arial" w:hAnsi="Arial" w:cs="Arial"/>
          <w:b/>
          <w:bCs/>
          <w:sz w:val="24"/>
          <w:szCs w:val="24"/>
        </w:rPr>
        <w:t>Asociación para la Defensa de la Sanidad Pública de Madrid</w:t>
      </w:r>
      <w:r w:rsidRPr="002364F3">
        <w:rPr>
          <w:rFonts w:ascii="Arial" w:hAnsi="Arial" w:cs="Arial"/>
          <w:sz w:val="24"/>
          <w:szCs w:val="24"/>
        </w:rPr>
        <w:t xml:space="preserve"> entendemos que:</w:t>
      </w:r>
    </w:p>
    <w:p w:rsidR="00D05D8C" w:rsidRPr="002364F3" w:rsidRDefault="00D05D8C" w:rsidP="006F62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>La Comunidad de Madrid precisa de un aumento significativo del número de camas de media y larga estancia hasta alcanzar un volumen de entre 7.100 y 8.100 camas de este tipo.</w:t>
      </w:r>
    </w:p>
    <w:p w:rsidR="00D05D8C" w:rsidRPr="002364F3" w:rsidRDefault="00D05D8C" w:rsidP="006F62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necesitan</w:t>
      </w:r>
      <w:r w:rsidRPr="002364F3">
        <w:rPr>
          <w:rFonts w:ascii="Arial" w:hAnsi="Arial" w:cs="Arial"/>
          <w:sz w:val="24"/>
          <w:szCs w:val="24"/>
        </w:rPr>
        <w:t xml:space="preserve"> nuevas camas</w:t>
      </w:r>
      <w:r>
        <w:rPr>
          <w:rFonts w:ascii="Arial" w:hAnsi="Arial" w:cs="Arial"/>
          <w:sz w:val="24"/>
          <w:szCs w:val="24"/>
        </w:rPr>
        <w:t xml:space="preserve"> para pacientes crónicos. No </w:t>
      </w:r>
      <w:r w:rsidRPr="002364F3">
        <w:rPr>
          <w:rFonts w:ascii="Arial" w:hAnsi="Arial" w:cs="Arial"/>
          <w:sz w:val="24"/>
          <w:szCs w:val="24"/>
        </w:rPr>
        <w:t>pueden ser conversiones de camas de agudos de las que la región, como se h</w:t>
      </w:r>
      <w:r>
        <w:rPr>
          <w:rFonts w:ascii="Arial" w:hAnsi="Arial" w:cs="Arial"/>
          <w:sz w:val="24"/>
          <w:szCs w:val="24"/>
        </w:rPr>
        <w:t>a expuesto, es también deficitaria. Para ello deberían</w:t>
      </w:r>
      <w:r w:rsidRPr="002364F3">
        <w:rPr>
          <w:rFonts w:ascii="Arial" w:hAnsi="Arial" w:cs="Arial"/>
          <w:sz w:val="24"/>
          <w:szCs w:val="24"/>
        </w:rPr>
        <w:t xml:space="preserve"> adoptarse las siguientes actuaciones:</w:t>
      </w:r>
    </w:p>
    <w:p w:rsidR="00D05D8C" w:rsidRPr="002364F3" w:rsidRDefault="00D05D8C" w:rsidP="006F62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>Reabrir las camas que se han cerrado en los últimos años en los grandes centros de gestión tradicional, creando áreas en estos hospitales de media y larga estancia</w:t>
      </w:r>
    </w:p>
    <w:p w:rsidR="00D05D8C" w:rsidRPr="002364F3" w:rsidRDefault="00D05D8C" w:rsidP="006F62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>Utilizar al 100% los recursos de media y larga estancia disponible (no parece razonable que en una situación deficitaria</w:t>
      </w:r>
      <w:r>
        <w:rPr>
          <w:rFonts w:ascii="Arial" w:hAnsi="Arial" w:cs="Arial"/>
          <w:sz w:val="24"/>
          <w:szCs w:val="24"/>
        </w:rPr>
        <w:t>,</w:t>
      </w:r>
      <w:r w:rsidRPr="002364F3">
        <w:rPr>
          <w:rFonts w:ascii="Arial" w:hAnsi="Arial" w:cs="Arial"/>
          <w:sz w:val="24"/>
          <w:szCs w:val="24"/>
        </w:rPr>
        <w:t xml:space="preserve"> un 12,5% de las camas existentes no se utilicen</w:t>
      </w:r>
      <w:r>
        <w:rPr>
          <w:rFonts w:ascii="Arial" w:hAnsi="Arial" w:cs="Arial"/>
          <w:sz w:val="24"/>
          <w:szCs w:val="24"/>
        </w:rPr>
        <w:t>)</w:t>
      </w:r>
    </w:p>
    <w:p w:rsidR="00D05D8C" w:rsidRPr="002364F3" w:rsidRDefault="00D05D8C" w:rsidP="006F62E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</w:t>
      </w:r>
      <w:r w:rsidRPr="002364F3">
        <w:rPr>
          <w:rFonts w:ascii="Arial" w:hAnsi="Arial" w:cs="Arial"/>
          <w:sz w:val="24"/>
          <w:szCs w:val="24"/>
        </w:rPr>
        <w:t xml:space="preserve"> el edificio del antiguo hospital Puerta de Hierro (actualmente cerrado y en un proceso de deterioro) para abrir un centro monográfico de media y larga estancia que con la consiguiente adaptación podría tener entre 400 y 600 camas</w:t>
      </w:r>
    </w:p>
    <w:p w:rsidR="00D05D8C" w:rsidRPr="002364F3" w:rsidRDefault="00D05D8C" w:rsidP="006F62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 xml:space="preserve">Por otro lado entendemos que no es razonable que solo los centros públicos atiendan enfermos de media y larga estancia. Un plan de  hospitalización </w:t>
      </w:r>
      <w:r>
        <w:rPr>
          <w:rFonts w:ascii="Arial" w:hAnsi="Arial" w:cs="Arial"/>
          <w:sz w:val="24"/>
          <w:szCs w:val="24"/>
        </w:rPr>
        <w:t>para pacientes crónicos</w:t>
      </w:r>
      <w:r w:rsidRPr="002364F3">
        <w:rPr>
          <w:rFonts w:ascii="Arial" w:hAnsi="Arial" w:cs="Arial"/>
          <w:sz w:val="24"/>
          <w:szCs w:val="24"/>
        </w:rPr>
        <w:t xml:space="preserve"> en la Comunidad de Madrid debe de contemplar que los centros privados con financiación pública atiendan la parte que les corresponde</w:t>
      </w:r>
      <w:r>
        <w:rPr>
          <w:rFonts w:ascii="Arial" w:hAnsi="Arial" w:cs="Arial"/>
          <w:sz w:val="24"/>
          <w:szCs w:val="24"/>
        </w:rPr>
        <w:t>, de acuerdo con la población que tienen asignada,</w:t>
      </w:r>
      <w:r w:rsidRPr="002364F3">
        <w:rPr>
          <w:rFonts w:ascii="Arial" w:hAnsi="Arial" w:cs="Arial"/>
          <w:sz w:val="24"/>
          <w:szCs w:val="24"/>
        </w:rPr>
        <w:t xml:space="preserve"> de este tipo de hospitalización en su zona de referencia.</w:t>
      </w:r>
    </w:p>
    <w:p w:rsidR="00D05D8C" w:rsidRDefault="00D05D8C" w:rsidP="006F62E9">
      <w:pPr>
        <w:jc w:val="both"/>
        <w:rPr>
          <w:rFonts w:ascii="Arial" w:hAnsi="Arial" w:cs="Arial"/>
          <w:sz w:val="24"/>
          <w:szCs w:val="24"/>
        </w:rPr>
      </w:pPr>
    </w:p>
    <w:p w:rsidR="00D05D8C" w:rsidRDefault="00D05D8C" w:rsidP="006F62E9">
      <w:pPr>
        <w:jc w:val="both"/>
        <w:rPr>
          <w:rFonts w:ascii="Arial" w:hAnsi="Arial" w:cs="Arial"/>
          <w:sz w:val="24"/>
          <w:szCs w:val="24"/>
        </w:rPr>
      </w:pPr>
      <w:r w:rsidRPr="002364F3">
        <w:rPr>
          <w:rFonts w:ascii="Arial" w:hAnsi="Arial" w:cs="Arial"/>
          <w:sz w:val="24"/>
          <w:szCs w:val="24"/>
        </w:rPr>
        <w:t xml:space="preserve">Hay que acabar con el proceso de privatización y deterioro intencionado de la Sanidad Pública madrileña a que esta ha sido sometida por el PP, y asumir que se necesitan más camas hospitalarias públicas, mejor utilización de estas, y dotar adecuadamente a la Comunidad de camas de media y larga estancia que son necesarias y que previsiblemente lo serán más en el medio plazo. </w:t>
      </w:r>
    </w:p>
    <w:p w:rsidR="00D05D8C" w:rsidRPr="002364F3" w:rsidRDefault="00D05D8C" w:rsidP="006F62E9">
      <w:pPr>
        <w:jc w:val="both"/>
        <w:rPr>
          <w:rFonts w:ascii="Arial" w:hAnsi="Arial" w:cs="Arial"/>
          <w:sz w:val="24"/>
          <w:szCs w:val="24"/>
        </w:rPr>
      </w:pPr>
    </w:p>
    <w:p w:rsidR="00D05D8C" w:rsidRPr="002364F3" w:rsidRDefault="00D05D8C" w:rsidP="0076152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364F3">
        <w:rPr>
          <w:rFonts w:ascii="Arial" w:hAnsi="Arial" w:cs="Arial"/>
          <w:b/>
          <w:bCs/>
          <w:i/>
          <w:iCs/>
          <w:sz w:val="24"/>
          <w:szCs w:val="24"/>
        </w:rPr>
        <w:t>ASOCIACION PARA LA DEFENSA DE LA SANIDAD PÚBLICA DE MADRID</w:t>
      </w:r>
    </w:p>
    <w:p w:rsidR="00D05D8C" w:rsidRPr="002364F3" w:rsidRDefault="00D05D8C" w:rsidP="0076152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24 de </w:t>
      </w:r>
      <w:r w:rsidRPr="002364F3">
        <w:rPr>
          <w:rFonts w:ascii="Arial" w:hAnsi="Arial" w:cs="Arial"/>
          <w:b/>
          <w:bCs/>
          <w:i/>
          <w:iCs/>
          <w:sz w:val="24"/>
          <w:szCs w:val="24"/>
        </w:rPr>
        <w:t>Mayo de 2017</w:t>
      </w:r>
    </w:p>
    <w:sectPr w:rsidR="00D05D8C" w:rsidRPr="002364F3" w:rsidSect="00D367D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8C" w:rsidRDefault="00D05D8C" w:rsidP="00662469">
      <w:pPr>
        <w:spacing w:after="0" w:line="240" w:lineRule="auto"/>
      </w:pPr>
      <w:r>
        <w:separator/>
      </w:r>
    </w:p>
  </w:endnote>
  <w:endnote w:type="continuationSeparator" w:id="0">
    <w:p w:rsidR="00D05D8C" w:rsidRDefault="00D05D8C" w:rsidP="0066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8C" w:rsidRDefault="00D05D8C" w:rsidP="00AB7B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5D8C" w:rsidRDefault="00D05D8C" w:rsidP="000C1C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8C" w:rsidRDefault="00D05D8C" w:rsidP="00662469">
      <w:pPr>
        <w:spacing w:after="0" w:line="240" w:lineRule="auto"/>
      </w:pPr>
      <w:r>
        <w:separator/>
      </w:r>
    </w:p>
  </w:footnote>
  <w:footnote w:type="continuationSeparator" w:id="0">
    <w:p w:rsidR="00D05D8C" w:rsidRDefault="00D05D8C" w:rsidP="0066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37F20"/>
    <w:multiLevelType w:val="hybridMultilevel"/>
    <w:tmpl w:val="95929F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767E04A7"/>
    <w:multiLevelType w:val="hybridMultilevel"/>
    <w:tmpl w:val="476EA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B45"/>
    <w:rsid w:val="000C147D"/>
    <w:rsid w:val="000C1C62"/>
    <w:rsid w:val="00114539"/>
    <w:rsid w:val="001A093C"/>
    <w:rsid w:val="001A7A75"/>
    <w:rsid w:val="001B61F8"/>
    <w:rsid w:val="001E73A4"/>
    <w:rsid w:val="002364F3"/>
    <w:rsid w:val="002B2C6A"/>
    <w:rsid w:val="003E7641"/>
    <w:rsid w:val="00484E67"/>
    <w:rsid w:val="004869B6"/>
    <w:rsid w:val="004C697B"/>
    <w:rsid w:val="0055588A"/>
    <w:rsid w:val="00581363"/>
    <w:rsid w:val="005F24F4"/>
    <w:rsid w:val="006041E1"/>
    <w:rsid w:val="00621FA0"/>
    <w:rsid w:val="006410FD"/>
    <w:rsid w:val="00662469"/>
    <w:rsid w:val="00684DD1"/>
    <w:rsid w:val="006F62E9"/>
    <w:rsid w:val="00761523"/>
    <w:rsid w:val="007950BC"/>
    <w:rsid w:val="00797318"/>
    <w:rsid w:val="008763DC"/>
    <w:rsid w:val="008A1C2D"/>
    <w:rsid w:val="008A1E6E"/>
    <w:rsid w:val="008E16ED"/>
    <w:rsid w:val="00963546"/>
    <w:rsid w:val="00A53D43"/>
    <w:rsid w:val="00AB7B2C"/>
    <w:rsid w:val="00AC1AAE"/>
    <w:rsid w:val="00B04424"/>
    <w:rsid w:val="00B51C7F"/>
    <w:rsid w:val="00B57963"/>
    <w:rsid w:val="00C2319B"/>
    <w:rsid w:val="00C336B8"/>
    <w:rsid w:val="00D05D8C"/>
    <w:rsid w:val="00D367DA"/>
    <w:rsid w:val="00DB4471"/>
    <w:rsid w:val="00E57ACA"/>
    <w:rsid w:val="00E70617"/>
    <w:rsid w:val="00E726EF"/>
    <w:rsid w:val="00E76DC8"/>
    <w:rsid w:val="00E871E3"/>
    <w:rsid w:val="00E9186D"/>
    <w:rsid w:val="00ED3C28"/>
    <w:rsid w:val="00F108B4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DA"/>
    <w:pPr>
      <w:spacing w:after="160" w:line="259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10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62E9"/>
    <w:pPr>
      <w:ind w:left="720"/>
    </w:pPr>
  </w:style>
  <w:style w:type="paragraph" w:styleId="Footer">
    <w:name w:val="footer"/>
    <w:basedOn w:val="Normal"/>
    <w:link w:val="FooterChar"/>
    <w:uiPriority w:val="99"/>
    <w:rsid w:val="000C1C6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86D"/>
    <w:rPr>
      <w:lang w:val="es-ES" w:eastAsia="en-US"/>
    </w:rPr>
  </w:style>
  <w:style w:type="character" w:styleId="PageNumber">
    <w:name w:val="page number"/>
    <w:basedOn w:val="DefaultParagraphFont"/>
    <w:uiPriority w:val="99"/>
    <w:rsid w:val="000C1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943</Words>
  <Characters>5189</Characters>
  <Application>Microsoft Office Outlook</Application>
  <DocSecurity>0</DocSecurity>
  <Lines>0</Lines>
  <Paragraphs>0</Paragraphs>
  <ScaleCrop>false</ScaleCrop>
  <Company>Comunidad de 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NECESIDAD DE MAS CAMAS DE MEDIA Y LARGA ESTANCIA EN LA COMUNIDAD DE MADRID</dc:title>
  <dc:subject/>
  <dc:creator>Consejeria de Sanidad</dc:creator>
  <cp:keywords/>
  <dc:description/>
  <cp:lastModifiedBy>FADSP</cp:lastModifiedBy>
  <cp:revision>5</cp:revision>
  <cp:lastPrinted>2017-05-20T07:28:00Z</cp:lastPrinted>
  <dcterms:created xsi:type="dcterms:W3CDTF">2017-05-20T07:28:00Z</dcterms:created>
  <dcterms:modified xsi:type="dcterms:W3CDTF">2017-05-24T08:33:00Z</dcterms:modified>
</cp:coreProperties>
</file>