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A4" w:rsidRPr="006374BC" w:rsidRDefault="00EB0C21" w:rsidP="00FE09CA">
      <w:pPr>
        <w:pStyle w:val="Ttulo"/>
        <w:jc w:val="center"/>
      </w:pPr>
      <w:r w:rsidRPr="006374BC">
        <w:t>Los Recortes Sanitarios en Madrid consecuencia directa de las rebajas fiscales de la Comunidad</w:t>
      </w:r>
    </w:p>
    <w:p w:rsidR="00D12892" w:rsidRDefault="00D12892"/>
    <w:p w:rsidR="006374BC" w:rsidRDefault="006374BC" w:rsidP="00FE09CA">
      <w:pPr>
        <w:ind w:firstLine="709"/>
        <w:jc w:val="both"/>
      </w:pPr>
      <w:r>
        <w:t>La Comunidad de Madrid desde hace años se mantiene entre las que menos dinero dedican a los presupuestos sanitarios públicos, una situación que no tiene justificación económica, ya que se trata de una de las 3 CCAA con mayor PIB per capita y que solo resulta comprensible por el afán del PP y de sus socios de gobiernos (hasta hora Ciudadanos) para deteriorar la Sanidad Pública madrileño.</w:t>
      </w:r>
    </w:p>
    <w:p w:rsidR="006374BC" w:rsidRDefault="006374BC" w:rsidP="00FE09CA">
      <w:pPr>
        <w:ind w:firstLine="709"/>
        <w:jc w:val="both"/>
      </w:pPr>
    </w:p>
    <w:p w:rsidR="00D12892" w:rsidRDefault="006374BC" w:rsidP="00FE09CA">
      <w:pPr>
        <w:ind w:firstLine="709"/>
        <w:jc w:val="both"/>
      </w:pPr>
      <w:r>
        <w:t>El tema es todavía mas grave si tenemos en cuenta que la política fiscal en esta Comunidad ha sido de disminuir la presión fiscal</w:t>
      </w:r>
      <w:r w:rsidR="009054CC">
        <w:t xml:space="preserve"> (en el IRPF, el impuesto de transiciones y sobre todo los impuestos de patrimonio  y sucesiones y donaciones)</w:t>
      </w:r>
      <w:r>
        <w:t>, con lo que los ingresos fiscales de la Comunidad se han visto claramente perjudicados</w:t>
      </w:r>
      <w:r w:rsidR="009054CC">
        <w:t>, favoreciendo claramente a las grandes fortunas (el 67,52% y el 18,47% de las rebajas corresponden a sucesiones/donaciones y a patrimonio).</w:t>
      </w:r>
    </w:p>
    <w:p w:rsidR="009054CC" w:rsidRDefault="009054CC" w:rsidP="00FE09CA">
      <w:pPr>
        <w:ind w:firstLine="709"/>
        <w:jc w:val="both"/>
      </w:pPr>
    </w:p>
    <w:p w:rsidR="009054CC" w:rsidRDefault="009054CC" w:rsidP="00FE09CA">
      <w:pPr>
        <w:ind w:firstLine="709"/>
        <w:jc w:val="both"/>
      </w:pPr>
      <w:r>
        <w:t>La tabla siguiente recoge la diferencia entre el presupuesto per cápita aprobado por  la Comunidad de Madrid y el promedio de las CCAA en cada año desde 2010 a 2019 (en 2020 no se ha aprobado presupuesto), así como el importe de la rebaja fiscal de las medidas del PP/CS madrileños, todo ello en millones €.</w:t>
      </w:r>
    </w:p>
    <w:p w:rsidR="00D12892" w:rsidRDefault="00D12892" w:rsidP="00FE09CA">
      <w:pPr>
        <w:ind w:firstLine="709"/>
      </w:pPr>
    </w:p>
    <w:p w:rsidR="00D12892" w:rsidRDefault="00D12892" w:rsidP="00FE09CA">
      <w:pPr>
        <w:ind w:firstLine="709"/>
      </w:pPr>
    </w:p>
    <w:tbl>
      <w:tblPr>
        <w:tblStyle w:val="Tablaconcuadrcula"/>
        <w:tblW w:w="0" w:type="auto"/>
        <w:tblLook w:val="01E0"/>
      </w:tblPr>
      <w:tblGrid>
        <w:gridCol w:w="2881"/>
        <w:gridCol w:w="2881"/>
        <w:gridCol w:w="2882"/>
      </w:tblGrid>
      <w:tr w:rsidR="00D12892">
        <w:tc>
          <w:tcPr>
            <w:tcW w:w="2881" w:type="dxa"/>
          </w:tcPr>
          <w:p w:rsidR="00D12892" w:rsidRDefault="00D12892" w:rsidP="00FE09CA">
            <w:pPr>
              <w:ind w:firstLine="709"/>
            </w:pPr>
            <w:r>
              <w:t>AÑO</w:t>
            </w:r>
          </w:p>
        </w:tc>
        <w:tc>
          <w:tcPr>
            <w:tcW w:w="2881" w:type="dxa"/>
          </w:tcPr>
          <w:p w:rsidR="00D12892" w:rsidRDefault="00D12892" w:rsidP="00FE09CA">
            <w:pPr>
              <w:ind w:firstLine="709"/>
            </w:pPr>
            <w:r>
              <w:t xml:space="preserve">Diferencia </w:t>
            </w:r>
            <w:r w:rsidR="006374BC">
              <w:t>presupuesto sanitario con la media de las CCAA</w:t>
            </w:r>
          </w:p>
        </w:tc>
        <w:tc>
          <w:tcPr>
            <w:tcW w:w="2882" w:type="dxa"/>
          </w:tcPr>
          <w:p w:rsidR="00D12892" w:rsidRDefault="006374BC" w:rsidP="00FE09CA">
            <w:pPr>
              <w:ind w:firstLine="709"/>
            </w:pPr>
            <w:r>
              <w:t>Cuantía de la rebaja fiscal</w:t>
            </w:r>
          </w:p>
        </w:tc>
      </w:tr>
      <w:tr w:rsidR="00D12892">
        <w:tc>
          <w:tcPr>
            <w:tcW w:w="2881" w:type="dxa"/>
          </w:tcPr>
          <w:p w:rsidR="00D12892" w:rsidRDefault="00D12892" w:rsidP="00FE09CA">
            <w:pPr>
              <w:ind w:firstLine="709"/>
            </w:pPr>
          </w:p>
          <w:p w:rsidR="00D12892" w:rsidRDefault="00D12892" w:rsidP="00FE09CA">
            <w:pPr>
              <w:ind w:firstLine="709"/>
            </w:pPr>
            <w:r>
              <w:t>2010</w:t>
            </w:r>
          </w:p>
        </w:tc>
        <w:tc>
          <w:tcPr>
            <w:tcW w:w="2881" w:type="dxa"/>
          </w:tcPr>
          <w:p w:rsidR="00D12892" w:rsidRDefault="00D12892" w:rsidP="00FE09CA">
            <w:pPr>
              <w:ind w:firstLine="709"/>
            </w:pPr>
          </w:p>
          <w:p w:rsidR="006374BC" w:rsidRDefault="006374BC" w:rsidP="00FE09CA">
            <w:pPr>
              <w:ind w:firstLine="709"/>
            </w:pPr>
            <w:r>
              <w:t>- 1.532</w:t>
            </w:r>
          </w:p>
        </w:tc>
        <w:tc>
          <w:tcPr>
            <w:tcW w:w="2882" w:type="dxa"/>
          </w:tcPr>
          <w:p w:rsidR="00D12892" w:rsidRDefault="00D12892" w:rsidP="00FE09CA">
            <w:pPr>
              <w:ind w:firstLine="709"/>
            </w:pPr>
          </w:p>
          <w:p w:rsidR="006374BC" w:rsidRDefault="006374BC" w:rsidP="00FE09CA">
            <w:pPr>
              <w:ind w:firstLine="709"/>
            </w:pPr>
            <w:r>
              <w:t>3.347</w:t>
            </w:r>
          </w:p>
        </w:tc>
      </w:tr>
      <w:tr w:rsidR="00D12892">
        <w:tc>
          <w:tcPr>
            <w:tcW w:w="2881" w:type="dxa"/>
          </w:tcPr>
          <w:p w:rsidR="00D12892" w:rsidRDefault="00D12892" w:rsidP="00FE09CA">
            <w:pPr>
              <w:ind w:firstLine="709"/>
            </w:pPr>
          </w:p>
          <w:p w:rsidR="00D12892" w:rsidRDefault="00D12892" w:rsidP="00FE09CA">
            <w:pPr>
              <w:ind w:firstLine="709"/>
            </w:pPr>
            <w:r>
              <w:t>2011</w:t>
            </w:r>
          </w:p>
        </w:tc>
        <w:tc>
          <w:tcPr>
            <w:tcW w:w="2881" w:type="dxa"/>
          </w:tcPr>
          <w:p w:rsidR="00D12892" w:rsidRDefault="00D12892" w:rsidP="00FE09CA">
            <w:pPr>
              <w:ind w:firstLine="709"/>
            </w:pPr>
          </w:p>
          <w:p w:rsidR="006374BC" w:rsidRDefault="006374BC" w:rsidP="00FE09CA">
            <w:pPr>
              <w:ind w:firstLine="709"/>
            </w:pPr>
            <w:r>
              <w:t>- 1.205</w:t>
            </w:r>
          </w:p>
        </w:tc>
        <w:tc>
          <w:tcPr>
            <w:tcW w:w="2882" w:type="dxa"/>
          </w:tcPr>
          <w:p w:rsidR="00D12892" w:rsidRDefault="00D12892" w:rsidP="00FE09CA">
            <w:pPr>
              <w:ind w:firstLine="709"/>
            </w:pPr>
          </w:p>
          <w:p w:rsidR="006374BC" w:rsidRDefault="006374BC" w:rsidP="00FE09CA">
            <w:pPr>
              <w:ind w:firstLine="709"/>
            </w:pPr>
            <w:r>
              <w:t>2.690</w:t>
            </w:r>
          </w:p>
        </w:tc>
      </w:tr>
      <w:tr w:rsidR="00D12892">
        <w:tc>
          <w:tcPr>
            <w:tcW w:w="2881" w:type="dxa"/>
          </w:tcPr>
          <w:p w:rsidR="00D12892" w:rsidRDefault="00D12892" w:rsidP="00FE09CA">
            <w:pPr>
              <w:ind w:firstLine="709"/>
            </w:pPr>
          </w:p>
          <w:p w:rsidR="00D12892" w:rsidRDefault="00D12892" w:rsidP="00FE09CA">
            <w:pPr>
              <w:ind w:firstLine="709"/>
            </w:pPr>
            <w:r>
              <w:t>2012</w:t>
            </w:r>
          </w:p>
        </w:tc>
        <w:tc>
          <w:tcPr>
            <w:tcW w:w="2881" w:type="dxa"/>
          </w:tcPr>
          <w:p w:rsidR="00D12892" w:rsidRDefault="00D12892" w:rsidP="00FE09CA">
            <w:pPr>
              <w:ind w:firstLine="709"/>
            </w:pPr>
          </w:p>
          <w:p w:rsidR="006374BC" w:rsidRDefault="006374BC" w:rsidP="00FE09CA">
            <w:pPr>
              <w:ind w:firstLine="709"/>
            </w:pPr>
            <w:r>
              <w:t>- 691</w:t>
            </w:r>
          </w:p>
        </w:tc>
        <w:tc>
          <w:tcPr>
            <w:tcW w:w="2882" w:type="dxa"/>
          </w:tcPr>
          <w:p w:rsidR="00D12892" w:rsidRDefault="00D12892" w:rsidP="00FE09CA">
            <w:pPr>
              <w:ind w:firstLine="709"/>
            </w:pPr>
          </w:p>
          <w:p w:rsidR="006374BC" w:rsidRDefault="006374BC" w:rsidP="00FE09CA">
            <w:pPr>
              <w:ind w:firstLine="709"/>
            </w:pPr>
            <w:r>
              <w:t>3.508</w:t>
            </w:r>
          </w:p>
        </w:tc>
      </w:tr>
      <w:tr w:rsidR="00D12892">
        <w:tc>
          <w:tcPr>
            <w:tcW w:w="2881" w:type="dxa"/>
          </w:tcPr>
          <w:p w:rsidR="00D12892" w:rsidRDefault="00D12892" w:rsidP="00FE09CA">
            <w:pPr>
              <w:ind w:firstLine="709"/>
            </w:pPr>
          </w:p>
          <w:p w:rsidR="00D12892" w:rsidRDefault="00D12892" w:rsidP="00FE09CA">
            <w:pPr>
              <w:ind w:firstLine="709"/>
            </w:pPr>
            <w:r>
              <w:t>2013</w:t>
            </w:r>
          </w:p>
        </w:tc>
        <w:tc>
          <w:tcPr>
            <w:tcW w:w="2881" w:type="dxa"/>
          </w:tcPr>
          <w:p w:rsidR="00D12892" w:rsidRDefault="00D12892" w:rsidP="00FE09CA">
            <w:pPr>
              <w:ind w:firstLine="709"/>
            </w:pPr>
          </w:p>
          <w:p w:rsidR="006374BC" w:rsidRDefault="006374BC" w:rsidP="00FE09CA">
            <w:pPr>
              <w:ind w:firstLine="709"/>
            </w:pPr>
            <w:r>
              <w:t>- 629</w:t>
            </w:r>
          </w:p>
        </w:tc>
        <w:tc>
          <w:tcPr>
            <w:tcW w:w="2882" w:type="dxa"/>
          </w:tcPr>
          <w:p w:rsidR="00D12892" w:rsidRDefault="00D12892" w:rsidP="00FE09CA">
            <w:pPr>
              <w:ind w:firstLine="709"/>
            </w:pPr>
          </w:p>
          <w:p w:rsidR="006374BC" w:rsidRDefault="006374BC" w:rsidP="00FE09CA">
            <w:pPr>
              <w:ind w:firstLine="709"/>
            </w:pPr>
            <w:r>
              <w:t>3.208</w:t>
            </w:r>
          </w:p>
        </w:tc>
      </w:tr>
      <w:tr w:rsidR="00D12892">
        <w:tc>
          <w:tcPr>
            <w:tcW w:w="2881" w:type="dxa"/>
          </w:tcPr>
          <w:p w:rsidR="00D12892" w:rsidRDefault="00D12892" w:rsidP="00FE09CA">
            <w:pPr>
              <w:ind w:firstLine="709"/>
            </w:pPr>
          </w:p>
          <w:p w:rsidR="00D12892" w:rsidRDefault="00D12892" w:rsidP="00FE09CA">
            <w:pPr>
              <w:ind w:firstLine="709"/>
            </w:pPr>
            <w:r>
              <w:t>2014</w:t>
            </w:r>
          </w:p>
        </w:tc>
        <w:tc>
          <w:tcPr>
            <w:tcW w:w="2881" w:type="dxa"/>
          </w:tcPr>
          <w:p w:rsidR="00D12892" w:rsidRDefault="00D12892" w:rsidP="00FE09CA">
            <w:pPr>
              <w:ind w:firstLine="709"/>
            </w:pPr>
          </w:p>
          <w:p w:rsidR="006374BC" w:rsidRDefault="006374BC" w:rsidP="00FE09CA">
            <w:pPr>
              <w:ind w:firstLine="709"/>
            </w:pPr>
            <w:r>
              <w:t>- 762</w:t>
            </w:r>
          </w:p>
        </w:tc>
        <w:tc>
          <w:tcPr>
            <w:tcW w:w="2882" w:type="dxa"/>
          </w:tcPr>
          <w:p w:rsidR="00D12892" w:rsidRDefault="00D12892" w:rsidP="00FE09CA">
            <w:pPr>
              <w:ind w:firstLine="709"/>
            </w:pPr>
          </w:p>
          <w:p w:rsidR="006374BC" w:rsidRDefault="006374BC" w:rsidP="00FE09CA">
            <w:pPr>
              <w:ind w:firstLine="709"/>
            </w:pPr>
            <w:r>
              <w:t>3.716</w:t>
            </w:r>
          </w:p>
        </w:tc>
      </w:tr>
      <w:tr w:rsidR="00D12892">
        <w:tc>
          <w:tcPr>
            <w:tcW w:w="2881" w:type="dxa"/>
          </w:tcPr>
          <w:p w:rsidR="00D12892" w:rsidRDefault="00D12892" w:rsidP="00FE09CA">
            <w:pPr>
              <w:ind w:firstLine="709"/>
            </w:pPr>
          </w:p>
          <w:p w:rsidR="00D12892" w:rsidRDefault="00D12892" w:rsidP="00FE09CA">
            <w:pPr>
              <w:ind w:firstLine="709"/>
            </w:pPr>
            <w:r>
              <w:t>2015</w:t>
            </w:r>
          </w:p>
        </w:tc>
        <w:tc>
          <w:tcPr>
            <w:tcW w:w="2881" w:type="dxa"/>
          </w:tcPr>
          <w:p w:rsidR="00D12892" w:rsidRDefault="00D12892" w:rsidP="00FE09CA">
            <w:pPr>
              <w:ind w:firstLine="709"/>
            </w:pPr>
          </w:p>
          <w:p w:rsidR="006374BC" w:rsidRDefault="006374BC" w:rsidP="00FE09CA">
            <w:pPr>
              <w:ind w:firstLine="709"/>
            </w:pPr>
            <w:r>
              <w:t>- 716</w:t>
            </w:r>
          </w:p>
        </w:tc>
        <w:tc>
          <w:tcPr>
            <w:tcW w:w="2882" w:type="dxa"/>
          </w:tcPr>
          <w:p w:rsidR="00D12892" w:rsidRDefault="00D12892" w:rsidP="00FE09CA">
            <w:pPr>
              <w:ind w:firstLine="709"/>
            </w:pPr>
          </w:p>
          <w:p w:rsidR="006374BC" w:rsidRDefault="006374BC" w:rsidP="00FE09CA">
            <w:pPr>
              <w:ind w:firstLine="709"/>
            </w:pPr>
            <w:r>
              <w:t>4.474</w:t>
            </w:r>
          </w:p>
        </w:tc>
      </w:tr>
      <w:tr w:rsidR="00D12892">
        <w:tc>
          <w:tcPr>
            <w:tcW w:w="2881" w:type="dxa"/>
          </w:tcPr>
          <w:p w:rsidR="00D12892" w:rsidRDefault="00D12892" w:rsidP="00FE09CA">
            <w:pPr>
              <w:ind w:firstLine="709"/>
            </w:pPr>
          </w:p>
          <w:p w:rsidR="00D12892" w:rsidRDefault="00D12892" w:rsidP="00FE09CA">
            <w:pPr>
              <w:ind w:firstLine="709"/>
            </w:pPr>
            <w:r>
              <w:t>2016</w:t>
            </w:r>
          </w:p>
        </w:tc>
        <w:tc>
          <w:tcPr>
            <w:tcW w:w="2881" w:type="dxa"/>
          </w:tcPr>
          <w:p w:rsidR="00D12892" w:rsidRDefault="00D12892" w:rsidP="00FE09CA">
            <w:pPr>
              <w:ind w:firstLine="709"/>
            </w:pPr>
          </w:p>
          <w:p w:rsidR="006374BC" w:rsidRDefault="006374BC" w:rsidP="00FE09CA">
            <w:pPr>
              <w:ind w:firstLine="709"/>
            </w:pPr>
            <w:r>
              <w:t>- 1.532</w:t>
            </w:r>
          </w:p>
        </w:tc>
        <w:tc>
          <w:tcPr>
            <w:tcW w:w="2882" w:type="dxa"/>
          </w:tcPr>
          <w:p w:rsidR="00D12892" w:rsidRDefault="00D12892" w:rsidP="00FE09CA">
            <w:pPr>
              <w:ind w:firstLine="709"/>
            </w:pPr>
          </w:p>
          <w:p w:rsidR="006374BC" w:rsidRDefault="006374BC" w:rsidP="00FE09CA">
            <w:pPr>
              <w:ind w:firstLine="709"/>
            </w:pPr>
            <w:r>
              <w:t>4.571</w:t>
            </w:r>
          </w:p>
        </w:tc>
      </w:tr>
      <w:tr w:rsidR="00D12892">
        <w:tc>
          <w:tcPr>
            <w:tcW w:w="2881" w:type="dxa"/>
          </w:tcPr>
          <w:p w:rsidR="00D12892" w:rsidRDefault="00D12892" w:rsidP="00FE09CA">
            <w:pPr>
              <w:ind w:firstLine="709"/>
            </w:pPr>
          </w:p>
          <w:p w:rsidR="00D12892" w:rsidRDefault="00D12892" w:rsidP="00FE09CA">
            <w:pPr>
              <w:ind w:firstLine="709"/>
            </w:pPr>
            <w:r>
              <w:lastRenderedPageBreak/>
              <w:t>2017</w:t>
            </w:r>
          </w:p>
        </w:tc>
        <w:tc>
          <w:tcPr>
            <w:tcW w:w="2881" w:type="dxa"/>
          </w:tcPr>
          <w:p w:rsidR="00D12892" w:rsidRDefault="00D12892" w:rsidP="00FE09CA">
            <w:pPr>
              <w:ind w:firstLine="709"/>
            </w:pPr>
          </w:p>
          <w:p w:rsidR="006374BC" w:rsidRDefault="006374BC" w:rsidP="00FE09CA">
            <w:pPr>
              <w:ind w:firstLine="709"/>
            </w:pPr>
            <w:r>
              <w:lastRenderedPageBreak/>
              <w:t>- 990</w:t>
            </w:r>
          </w:p>
        </w:tc>
        <w:tc>
          <w:tcPr>
            <w:tcW w:w="2882" w:type="dxa"/>
          </w:tcPr>
          <w:p w:rsidR="00D12892" w:rsidRDefault="00D12892" w:rsidP="00FE09CA">
            <w:pPr>
              <w:ind w:firstLine="709"/>
            </w:pPr>
          </w:p>
          <w:p w:rsidR="006374BC" w:rsidRDefault="006374BC" w:rsidP="00FE09CA">
            <w:pPr>
              <w:ind w:firstLine="709"/>
            </w:pPr>
            <w:r>
              <w:lastRenderedPageBreak/>
              <w:t>4.395</w:t>
            </w:r>
          </w:p>
        </w:tc>
      </w:tr>
      <w:tr w:rsidR="00D12892">
        <w:tc>
          <w:tcPr>
            <w:tcW w:w="2881" w:type="dxa"/>
          </w:tcPr>
          <w:p w:rsidR="00D12892" w:rsidRDefault="00D12892" w:rsidP="00FE09CA">
            <w:pPr>
              <w:ind w:firstLine="709"/>
            </w:pPr>
          </w:p>
          <w:p w:rsidR="00D12892" w:rsidRDefault="00D12892" w:rsidP="00FE09CA">
            <w:pPr>
              <w:ind w:firstLine="709"/>
            </w:pPr>
            <w:r>
              <w:t>2018</w:t>
            </w:r>
          </w:p>
        </w:tc>
        <w:tc>
          <w:tcPr>
            <w:tcW w:w="2881" w:type="dxa"/>
          </w:tcPr>
          <w:p w:rsidR="00D12892" w:rsidRDefault="00D12892" w:rsidP="00FE09CA">
            <w:pPr>
              <w:ind w:firstLine="709"/>
            </w:pPr>
          </w:p>
          <w:p w:rsidR="006374BC" w:rsidRDefault="006374BC" w:rsidP="00FE09CA">
            <w:pPr>
              <w:ind w:firstLine="709"/>
            </w:pPr>
            <w:r>
              <w:t>- 1.225</w:t>
            </w:r>
          </w:p>
        </w:tc>
        <w:tc>
          <w:tcPr>
            <w:tcW w:w="2882" w:type="dxa"/>
          </w:tcPr>
          <w:p w:rsidR="00D12892" w:rsidRDefault="00D12892" w:rsidP="00FE09CA">
            <w:pPr>
              <w:ind w:firstLine="709"/>
            </w:pPr>
          </w:p>
          <w:p w:rsidR="006374BC" w:rsidRDefault="006374BC" w:rsidP="00FE09CA">
            <w:pPr>
              <w:ind w:firstLine="709"/>
            </w:pPr>
            <w:r>
              <w:t>5.036</w:t>
            </w:r>
          </w:p>
        </w:tc>
      </w:tr>
      <w:tr w:rsidR="00D12892">
        <w:tc>
          <w:tcPr>
            <w:tcW w:w="2881" w:type="dxa"/>
          </w:tcPr>
          <w:p w:rsidR="00D12892" w:rsidRDefault="00D12892" w:rsidP="00FE09CA">
            <w:pPr>
              <w:ind w:firstLine="709"/>
            </w:pPr>
          </w:p>
          <w:p w:rsidR="00D12892" w:rsidRDefault="00D12892" w:rsidP="00FE09CA">
            <w:pPr>
              <w:ind w:firstLine="709"/>
            </w:pPr>
            <w:r>
              <w:t>2019</w:t>
            </w:r>
          </w:p>
        </w:tc>
        <w:tc>
          <w:tcPr>
            <w:tcW w:w="2881" w:type="dxa"/>
          </w:tcPr>
          <w:p w:rsidR="00D12892" w:rsidRDefault="00D12892" w:rsidP="00FE09CA">
            <w:pPr>
              <w:ind w:firstLine="709"/>
            </w:pPr>
          </w:p>
          <w:p w:rsidR="006374BC" w:rsidRDefault="006374BC" w:rsidP="00FE09CA">
            <w:pPr>
              <w:ind w:firstLine="709"/>
            </w:pPr>
            <w:r>
              <w:t>- 1.540</w:t>
            </w:r>
          </w:p>
        </w:tc>
        <w:tc>
          <w:tcPr>
            <w:tcW w:w="2882" w:type="dxa"/>
          </w:tcPr>
          <w:p w:rsidR="00D12892" w:rsidRDefault="00D12892" w:rsidP="00FE09CA">
            <w:pPr>
              <w:ind w:firstLine="709"/>
            </w:pPr>
          </w:p>
          <w:p w:rsidR="006374BC" w:rsidRDefault="006374BC" w:rsidP="00FE09CA">
            <w:pPr>
              <w:ind w:firstLine="709"/>
            </w:pPr>
            <w:r>
              <w:t>4.571</w:t>
            </w:r>
          </w:p>
        </w:tc>
      </w:tr>
      <w:tr w:rsidR="00D12892">
        <w:tc>
          <w:tcPr>
            <w:tcW w:w="2881" w:type="dxa"/>
          </w:tcPr>
          <w:p w:rsidR="00D12892" w:rsidRDefault="00D12892" w:rsidP="00FE09CA">
            <w:pPr>
              <w:ind w:firstLine="709"/>
            </w:pPr>
          </w:p>
          <w:p w:rsidR="00D12892" w:rsidRDefault="00D12892" w:rsidP="00FE09CA">
            <w:pPr>
              <w:ind w:firstLine="709"/>
            </w:pPr>
            <w:r>
              <w:t>TOTAL</w:t>
            </w:r>
          </w:p>
        </w:tc>
        <w:tc>
          <w:tcPr>
            <w:tcW w:w="2881" w:type="dxa"/>
          </w:tcPr>
          <w:p w:rsidR="00D12892" w:rsidRDefault="00D12892" w:rsidP="00FE09CA">
            <w:pPr>
              <w:ind w:firstLine="709"/>
            </w:pPr>
          </w:p>
          <w:p w:rsidR="006374BC" w:rsidRDefault="006374BC" w:rsidP="00FE09CA">
            <w:pPr>
              <w:ind w:firstLine="709"/>
            </w:pPr>
            <w:r>
              <w:t>- 10,822</w:t>
            </w:r>
          </w:p>
        </w:tc>
        <w:tc>
          <w:tcPr>
            <w:tcW w:w="2882" w:type="dxa"/>
          </w:tcPr>
          <w:p w:rsidR="00D12892" w:rsidRDefault="00D12892" w:rsidP="00FE09CA">
            <w:pPr>
              <w:ind w:firstLine="709"/>
            </w:pPr>
          </w:p>
          <w:p w:rsidR="006374BC" w:rsidRDefault="006374BC" w:rsidP="00FE09CA">
            <w:pPr>
              <w:ind w:firstLine="709"/>
            </w:pPr>
            <w:r>
              <w:t>39.516</w:t>
            </w:r>
          </w:p>
        </w:tc>
      </w:tr>
    </w:tbl>
    <w:p w:rsidR="00D12892" w:rsidRDefault="00D12892" w:rsidP="00FE09CA">
      <w:pPr>
        <w:ind w:firstLine="709"/>
      </w:pPr>
    </w:p>
    <w:p w:rsidR="00EF4BA4" w:rsidRDefault="009054CC" w:rsidP="00FE09CA">
      <w:pPr>
        <w:ind w:firstLine="709"/>
        <w:jc w:val="both"/>
      </w:pPr>
      <w:r>
        <w:t>Puede observarse como si Madrid no hubiese hecho estas rebajas hubiese podido perfectamente presupuestar lo mismo que el promedio de las CCAA para Sanidad e incluso hubiese sobrado dinero para otros servicios públicos ya que el diferencial, la deuda sanitaria que tiene la Comunidad con la ciudadanía de la región, es el 27,38% de lo no recaudado por sus políticas fiscales.</w:t>
      </w:r>
    </w:p>
    <w:p w:rsidR="009054CC" w:rsidRDefault="009054CC" w:rsidP="00FE09CA">
      <w:pPr>
        <w:ind w:firstLine="709"/>
        <w:jc w:val="both"/>
      </w:pPr>
    </w:p>
    <w:p w:rsidR="009054CC" w:rsidRDefault="009054CC" w:rsidP="00FE09CA">
      <w:pPr>
        <w:ind w:firstLine="709"/>
        <w:jc w:val="both"/>
      </w:pPr>
      <w:r>
        <w:t xml:space="preserve">Estamos por lo tanto ante una política intencionada de deterioro de los servicios públicos que produce las situaciones que vive la población que espera 10 días y mas para que le atiendan en su centro de salud o </w:t>
      </w:r>
      <w:r w:rsidR="003514A8">
        <w:t>las 647.816 personas que según datos de la propia Comunidad se enco</w:t>
      </w:r>
      <w:r>
        <w:t>ntra</w:t>
      </w:r>
      <w:r w:rsidR="003514A8">
        <w:t>ban a 31 de diciembre de 2019</w:t>
      </w:r>
      <w:r>
        <w:t xml:space="preserve"> en las prolongadas listas de espera quirúrgicas, diagnósticas o de primera consulta del especialista</w:t>
      </w:r>
      <w:r w:rsidR="003514A8">
        <w:t>.</w:t>
      </w:r>
    </w:p>
    <w:p w:rsidR="003514A8" w:rsidRDefault="003514A8" w:rsidP="00FE09CA">
      <w:pPr>
        <w:ind w:firstLine="709"/>
        <w:jc w:val="both"/>
      </w:pPr>
    </w:p>
    <w:p w:rsidR="003514A8" w:rsidRDefault="003514A8" w:rsidP="00FE09CA">
      <w:pPr>
        <w:ind w:firstLine="709"/>
        <w:jc w:val="both"/>
      </w:pPr>
      <w:r>
        <w:t xml:space="preserve">Desde la Asociación para la Defensa de la Sanidad Pública de Madrid queremos resaltar que no puede haber servicios públicos de calidad sin una recaudación suficiente de impuestos y que perdonar impuestos a los </w:t>
      </w:r>
      <w:proofErr w:type="gramStart"/>
      <w:r>
        <w:t>mas</w:t>
      </w:r>
      <w:proofErr w:type="gramEnd"/>
      <w:r>
        <w:t xml:space="preserve"> ricos no es la vía para avanzar en la cobertura de las necesidades de la Sanidad Pública madrileña. Exigimos por lo tanto una rectificación, unos presupuestos suficientes para la Sanidad Pública y una política fiscal que lo posibilite, que como demuestran las cifras es perfectamente viable.</w:t>
      </w:r>
    </w:p>
    <w:p w:rsidR="003514A8" w:rsidRDefault="003514A8" w:rsidP="009054CC">
      <w:pPr>
        <w:jc w:val="both"/>
      </w:pPr>
    </w:p>
    <w:p w:rsidR="003514A8" w:rsidRDefault="003514A8" w:rsidP="003514A8">
      <w:pPr>
        <w:jc w:val="center"/>
        <w:rPr>
          <w:b/>
        </w:rPr>
      </w:pPr>
      <w:r w:rsidRPr="003514A8">
        <w:rPr>
          <w:b/>
        </w:rPr>
        <w:t>Asociación para la Defensa de la Sanidad Pública de Madrid</w:t>
      </w:r>
    </w:p>
    <w:p w:rsidR="00FE09CA" w:rsidRPr="003514A8" w:rsidRDefault="00FE09CA" w:rsidP="003514A8">
      <w:pPr>
        <w:jc w:val="center"/>
        <w:rPr>
          <w:b/>
        </w:rPr>
      </w:pPr>
    </w:p>
    <w:p w:rsidR="003514A8" w:rsidRPr="003514A8" w:rsidRDefault="003514A8" w:rsidP="003514A8">
      <w:pPr>
        <w:jc w:val="center"/>
        <w:rPr>
          <w:b/>
        </w:rPr>
      </w:pPr>
      <w:r w:rsidRPr="003514A8">
        <w:rPr>
          <w:b/>
        </w:rPr>
        <w:t>17 de Febrero de 2020</w:t>
      </w:r>
    </w:p>
    <w:p w:rsidR="00EF4BA4" w:rsidRDefault="00EF4BA4" w:rsidP="009054CC">
      <w:pPr>
        <w:jc w:val="both"/>
      </w:pPr>
    </w:p>
    <w:sectPr w:rsidR="00EF4BA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F56" w:rsidRDefault="00007F56" w:rsidP="00EB0C21">
      <w:r>
        <w:separator/>
      </w:r>
    </w:p>
  </w:endnote>
  <w:endnote w:type="continuationSeparator" w:id="0">
    <w:p w:rsidR="00007F56" w:rsidRDefault="00007F56" w:rsidP="00EB0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F56" w:rsidRDefault="00007F56" w:rsidP="00EB0C21">
      <w:r>
        <w:separator/>
      </w:r>
    </w:p>
  </w:footnote>
  <w:footnote w:type="continuationSeparator" w:id="0">
    <w:p w:rsidR="00007F56" w:rsidRDefault="00007F56" w:rsidP="00EB0C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F4BA4"/>
    <w:rsid w:val="00007F56"/>
    <w:rsid w:val="003514A8"/>
    <w:rsid w:val="006374BC"/>
    <w:rsid w:val="009054CC"/>
    <w:rsid w:val="00D12892"/>
    <w:rsid w:val="00EB0C21"/>
    <w:rsid w:val="00EF4BA4"/>
    <w:rsid w:val="00FE09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D12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B0C21"/>
    <w:pPr>
      <w:tabs>
        <w:tab w:val="center" w:pos="4252"/>
        <w:tab w:val="right" w:pos="8504"/>
      </w:tabs>
    </w:pPr>
  </w:style>
  <w:style w:type="character" w:customStyle="1" w:styleId="EncabezadoCar">
    <w:name w:val="Encabezado Car"/>
    <w:basedOn w:val="Fuentedeprrafopredeter"/>
    <w:link w:val="Encabezado"/>
    <w:uiPriority w:val="99"/>
    <w:semiHidden/>
    <w:rsid w:val="00EB0C21"/>
    <w:rPr>
      <w:rFonts w:ascii="Arial" w:hAnsi="Arial"/>
      <w:sz w:val="24"/>
      <w:szCs w:val="24"/>
      <w:lang w:val="es-ES_tradnl" w:eastAsia="es-ES_tradnl"/>
    </w:rPr>
  </w:style>
  <w:style w:type="paragraph" w:styleId="Piedepgina">
    <w:name w:val="footer"/>
    <w:basedOn w:val="Normal"/>
    <w:link w:val="PiedepginaCar"/>
    <w:uiPriority w:val="99"/>
    <w:semiHidden/>
    <w:unhideWhenUsed/>
    <w:rsid w:val="00EB0C21"/>
    <w:pPr>
      <w:tabs>
        <w:tab w:val="center" w:pos="4252"/>
        <w:tab w:val="right" w:pos="8504"/>
      </w:tabs>
    </w:pPr>
  </w:style>
  <w:style w:type="character" w:customStyle="1" w:styleId="PiedepginaCar">
    <w:name w:val="Pie de página Car"/>
    <w:basedOn w:val="Fuentedeprrafopredeter"/>
    <w:link w:val="Piedepgina"/>
    <w:uiPriority w:val="99"/>
    <w:semiHidden/>
    <w:rsid w:val="00EB0C21"/>
    <w:rPr>
      <w:rFonts w:ascii="Arial" w:hAnsi="Arial"/>
      <w:sz w:val="24"/>
      <w:szCs w:val="24"/>
      <w:lang w:val="es-ES_tradnl" w:eastAsia="es-ES_tradnl"/>
    </w:rPr>
  </w:style>
  <w:style w:type="paragraph" w:styleId="Ttulo">
    <w:name w:val="Title"/>
    <w:basedOn w:val="Normal"/>
    <w:next w:val="Normal"/>
    <w:link w:val="TtuloCar"/>
    <w:uiPriority w:val="10"/>
    <w:qFormat/>
    <w:rsid w:val="00FE09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E09CA"/>
    <w:rPr>
      <w:rFonts w:asciiTheme="majorHAnsi" w:eastAsiaTheme="majorEastAsia" w:hAnsiTheme="majorHAnsi" w:cstheme="majorBidi"/>
      <w:color w:val="17365D" w:themeColor="text2" w:themeShade="BF"/>
      <w:spacing w:val="5"/>
      <w:kern w:val="28"/>
      <w:sz w:val="52"/>
      <w:szCs w:val="52"/>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LOS RECORTES SANITARIOS EN MADRID CONSECUENCIA DIRECTA DE LAS REBAJAS FISCALES DE LA COMUNIDAD</vt:lpstr>
    </vt:vector>
  </TitlesOfParts>
  <Company>FADSP</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RECORTES SANITARIOS EN MADRID CONSECUENCIA DIRECTA DE LAS REBAJAS FISCALES DE LA COMUNIDAD</dc:title>
  <dc:creator>FADSP</dc:creator>
  <cp:lastModifiedBy>Usuario</cp:lastModifiedBy>
  <cp:revision>2</cp:revision>
  <dcterms:created xsi:type="dcterms:W3CDTF">2020-02-16T17:50:00Z</dcterms:created>
  <dcterms:modified xsi:type="dcterms:W3CDTF">2020-02-16T17:50:00Z</dcterms:modified>
</cp:coreProperties>
</file>